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934AC" w14:textId="77777777" w:rsidR="00A31DB6" w:rsidRDefault="00CF324B" w:rsidP="00ED08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F6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Инструкция к заполнению </w:t>
      </w:r>
      <w:r w:rsidR="00F51549" w:rsidRPr="00BF6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форм </w:t>
      </w:r>
    </w:p>
    <w:p w14:paraId="2516A0CC" w14:textId="77777777" w:rsidR="008C3395" w:rsidRDefault="008C3395" w:rsidP="00ED08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02384C1" w14:textId="77777777" w:rsidR="007D2351" w:rsidRPr="008C3395" w:rsidRDefault="007D2351" w:rsidP="00ED08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33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Таблица 1</w:t>
      </w:r>
      <w:r w:rsidR="008C3395" w:rsidRPr="008C33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«Информация об объеме поступлений и выплат»</w:t>
      </w:r>
    </w:p>
    <w:p w14:paraId="1DA8C75E" w14:textId="77777777" w:rsidR="008C3395" w:rsidRDefault="008C3395" w:rsidP="00ED08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EF5204F" w14:textId="77777777" w:rsidR="00F51549" w:rsidRPr="009C65FE" w:rsidRDefault="00CF324B" w:rsidP="00ED08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65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Общие принципы заполнения</w:t>
      </w:r>
      <w:r w:rsidR="00F51549" w:rsidRPr="009C65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формы</w:t>
      </w:r>
      <w:r w:rsidRPr="009C65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CE57B9F" w14:textId="77777777" w:rsidR="00F51549" w:rsidRPr="00BF616E" w:rsidRDefault="00F51549" w:rsidP="00ED08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AC46598" w14:textId="77777777" w:rsidR="00F51549" w:rsidRPr="00BF616E" w:rsidRDefault="00F51549" w:rsidP="00ED08D5">
      <w:pPr>
        <w:pStyle w:val="a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Форма </w:t>
      </w:r>
      <w:r w:rsidR="00793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заполняе</w:t>
      </w:r>
      <w:r w:rsidR="00CF324B"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 в целом по учреждению (т.е. головное учреждение</w:t>
      </w:r>
      <w:r w:rsidR="00427182"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CF324B"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обосо</w:t>
      </w:r>
      <w:r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бленные подразделения/филиалы)</w:t>
      </w:r>
      <w:r w:rsidR="00D67A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F4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рублях</w:t>
      </w:r>
      <w:r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B7A4218" w14:textId="77777777" w:rsidR="00A31DB6" w:rsidRPr="00BF616E" w:rsidRDefault="00CF324B" w:rsidP="00ED08D5">
      <w:pPr>
        <w:pStyle w:val="a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Финансовые показатели представляются в рублях с точностью до двух знаков после запятой</w:t>
      </w:r>
      <w:r w:rsidR="00D67A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C4696AC" w14:textId="77777777" w:rsidR="00F51549" w:rsidRDefault="00CF324B" w:rsidP="00ED08D5">
      <w:pPr>
        <w:pStyle w:val="a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Данные </w:t>
      </w:r>
      <w:r w:rsidR="00F51549"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формы </w:t>
      </w:r>
      <w:r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приводятся </w:t>
      </w:r>
      <w:r w:rsidR="00F7652F" w:rsidRPr="00376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целом по </w:t>
      </w:r>
      <w:r w:rsidR="00F76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источникам</w:t>
      </w:r>
      <w:r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финансирования:</w:t>
      </w:r>
    </w:p>
    <w:p w14:paraId="5B0EF303" w14:textId="77777777" w:rsidR="00BD34CB" w:rsidRDefault="007C2E8D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2019: </w:t>
      </w:r>
    </w:p>
    <w:p w14:paraId="678DB293" w14:textId="77777777" w:rsidR="002D57B1" w:rsidRPr="0037604E" w:rsidRDefault="00F7652F" w:rsidP="00ED08D5">
      <w:pPr>
        <w:pStyle w:val="a8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04E">
        <w:rPr>
          <w:rFonts w:ascii="Times New Roman" w:hAnsi="Times New Roman" w:cs="Times New Roman"/>
          <w:sz w:val="24"/>
          <w:szCs w:val="24"/>
        </w:rPr>
        <w:t>Данные по графе 3 «2019 год, Факт на 01.01.2020, Всего»</w:t>
      </w:r>
      <w:r w:rsidR="00056BE1" w:rsidRPr="0037604E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2D57B1" w:rsidRPr="0037604E">
        <w:rPr>
          <w:rFonts w:ascii="Times New Roman" w:hAnsi="Times New Roman" w:cs="Times New Roman"/>
          <w:sz w:val="24"/>
          <w:szCs w:val="24"/>
        </w:rPr>
        <w:t>ю</w:t>
      </w:r>
      <w:r w:rsidR="00056BE1" w:rsidRPr="0037604E">
        <w:rPr>
          <w:rFonts w:ascii="Times New Roman" w:hAnsi="Times New Roman" w:cs="Times New Roman"/>
          <w:sz w:val="24"/>
          <w:szCs w:val="24"/>
        </w:rPr>
        <w:t>т в себя</w:t>
      </w:r>
      <w:r w:rsidRPr="0037604E">
        <w:rPr>
          <w:rFonts w:ascii="Times New Roman" w:hAnsi="Times New Roman" w:cs="Times New Roman"/>
          <w:sz w:val="24"/>
          <w:szCs w:val="24"/>
        </w:rPr>
        <w:t xml:space="preserve"> следующие источники финансирования</w:t>
      </w:r>
      <w:r w:rsidR="00056BE1" w:rsidRPr="0037604E">
        <w:rPr>
          <w:rFonts w:ascii="Times New Roman" w:hAnsi="Times New Roman" w:cs="Times New Roman"/>
          <w:sz w:val="24"/>
          <w:szCs w:val="24"/>
        </w:rPr>
        <w:t>:</w:t>
      </w:r>
      <w:r w:rsidR="00BD34CB" w:rsidRPr="00376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88E3D" w14:textId="77777777" w:rsidR="002D57B1" w:rsidRDefault="00B70664" w:rsidP="002D57B1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BD34CB" w:rsidRPr="00644A86">
        <w:rPr>
          <w:rFonts w:ascii="Times New Roman" w:hAnsi="Times New Roman" w:cs="Times New Roman"/>
          <w:sz w:val="24"/>
          <w:szCs w:val="24"/>
        </w:rPr>
        <w:t>от приносящ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D34CB" w:rsidRPr="00644A86">
        <w:rPr>
          <w:rFonts w:ascii="Times New Roman" w:hAnsi="Times New Roman" w:cs="Times New Roman"/>
          <w:sz w:val="24"/>
          <w:szCs w:val="24"/>
        </w:rPr>
        <w:t xml:space="preserve"> доход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D34CB" w:rsidRPr="00644A86">
        <w:rPr>
          <w:rFonts w:ascii="Times New Roman" w:hAnsi="Times New Roman" w:cs="Times New Roman"/>
          <w:sz w:val="24"/>
          <w:szCs w:val="24"/>
        </w:rPr>
        <w:t xml:space="preserve"> (собственные доходы учреждения), всего </w:t>
      </w:r>
      <w:r w:rsidR="00BD34CB" w:rsidRPr="00644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КФО 2);  </w:t>
      </w:r>
    </w:p>
    <w:p w14:paraId="5D459605" w14:textId="77777777" w:rsidR="002D57B1" w:rsidRDefault="00BD34CB" w:rsidP="002D57B1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44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субсидии на финансовое обеспечение выполнения государственного задания, субсидии на финансовое обеспечение выполнения государственного задания за счет средств бюджета ФФОМС (далее КФО 4); </w:t>
      </w:r>
    </w:p>
    <w:p w14:paraId="5199322E" w14:textId="77777777" w:rsidR="002D57B1" w:rsidRDefault="00BD34CB" w:rsidP="002D57B1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4A86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субсидии, предоставляемые в соответствии с абзацем вторым пункта 1 статьи 78.1 Бюджетного кодекса Российской Федерации (далее КФО 5);</w:t>
      </w:r>
      <w:r w:rsidR="00232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D26EBEB" w14:textId="77777777" w:rsidR="00BD34CB" w:rsidRPr="00232C48" w:rsidRDefault="00232C48" w:rsidP="002D57B1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C4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по обязательному медицинскому страхованию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КФО 7);</w:t>
      </w:r>
    </w:p>
    <w:p w14:paraId="782D36AC" w14:textId="77777777" w:rsidR="00346315" w:rsidRDefault="00346315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A4D9BC" w14:textId="13DF4A2C" w:rsidR="00F7652F" w:rsidRPr="00346315" w:rsidRDefault="00F7652F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Данные графы 3 детализируются в следующем разрезе:</w:t>
      </w:r>
    </w:p>
    <w:p w14:paraId="0A41E75A" w14:textId="77777777" w:rsidR="00BD34CB" w:rsidRPr="00346315" w:rsidRDefault="00F7652F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том числе </w:t>
      </w:r>
      <w:r w:rsidR="00BD34CB"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</w:t>
      </w:r>
      <w:r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ая </w:t>
      </w:r>
      <w:r w:rsidR="00BD34CB"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деятельност</w:t>
      </w:r>
      <w:r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ь, всего</w:t>
      </w:r>
      <w:r w:rsidR="00BD34CB"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D552A75" w14:textId="77777777" w:rsidR="00BD34CB" w:rsidRPr="00346315" w:rsidRDefault="00F7652F" w:rsidP="00F7652F">
      <w:p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них в</w:t>
      </w:r>
      <w:r w:rsidR="00BD34CB"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ысшего образования</w:t>
      </w:r>
      <w:r w:rsidR="00056BE1"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74A9E46" w14:textId="77777777" w:rsidR="00BD34CB" w:rsidRDefault="00BD34CB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2020:</w:t>
      </w:r>
    </w:p>
    <w:p w14:paraId="34A6C01E" w14:textId="77777777" w:rsidR="002D57B1" w:rsidRPr="00346315" w:rsidRDefault="00F7652F" w:rsidP="00F7652F">
      <w:pPr>
        <w:pStyle w:val="a8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6315">
        <w:rPr>
          <w:rFonts w:ascii="Times New Roman" w:hAnsi="Times New Roman" w:cs="Times New Roman"/>
          <w:sz w:val="24"/>
          <w:szCs w:val="24"/>
        </w:rPr>
        <w:t>Данные по графе 6 «2020 год, Факт на 01.01.2021, Всего» включают в себя следующие источники финансирования:</w:t>
      </w:r>
      <w:r w:rsidR="00BD34CB" w:rsidRPr="003463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50CD2" w14:textId="77777777" w:rsidR="002D57B1" w:rsidRDefault="002C696E" w:rsidP="002D57B1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BD34CB" w:rsidRPr="00BD34CB">
        <w:rPr>
          <w:rFonts w:ascii="Times New Roman" w:hAnsi="Times New Roman" w:cs="Times New Roman"/>
          <w:sz w:val="24"/>
          <w:szCs w:val="24"/>
        </w:rPr>
        <w:t>от приносящ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BD34CB" w:rsidRPr="00BD34CB">
        <w:rPr>
          <w:rFonts w:ascii="Times New Roman" w:hAnsi="Times New Roman" w:cs="Times New Roman"/>
          <w:sz w:val="24"/>
          <w:szCs w:val="24"/>
        </w:rPr>
        <w:t>доход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D34CB" w:rsidRPr="00BD34CB">
        <w:rPr>
          <w:rFonts w:ascii="Times New Roman" w:hAnsi="Times New Roman" w:cs="Times New Roman"/>
          <w:sz w:val="24"/>
          <w:szCs w:val="24"/>
        </w:rPr>
        <w:t xml:space="preserve"> (собственные доходы учреждения), всего</w:t>
      </w:r>
      <w:r w:rsidR="00BD34CB" w:rsidRPr="00BD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КФО 2);  </w:t>
      </w:r>
    </w:p>
    <w:p w14:paraId="3469D0E5" w14:textId="77777777" w:rsidR="002D57B1" w:rsidRDefault="00BD34CB" w:rsidP="002D57B1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34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субсидии на финансовое обеспечение выполнения государственного задания, субсидии на финансовое обеспечение выполнения государственного задания за счет средств бюджета ФФОМС (далее КФО 4); </w:t>
      </w:r>
    </w:p>
    <w:p w14:paraId="5A7FBDBA" w14:textId="77777777" w:rsidR="002D57B1" w:rsidRDefault="00BD34CB" w:rsidP="002D57B1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CB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субсидии, предоставляемые в соответствии с абзацем вторым пункта 1 статьи 78.1 Бюджетного кодекса Российской Федерации (далее КФО 5);</w:t>
      </w:r>
      <w:r w:rsidR="00232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19E6EEB" w14:textId="77777777" w:rsidR="00BD34CB" w:rsidRPr="00232C48" w:rsidRDefault="00232C48" w:rsidP="002D57B1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C4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по обязательному медицинскому страхованию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КФО 7);</w:t>
      </w:r>
    </w:p>
    <w:p w14:paraId="66123238" w14:textId="77777777" w:rsidR="00F7652F" w:rsidRDefault="00F7652F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1D6A21" w14:textId="77777777" w:rsidR="00F7652F" w:rsidRPr="00346315" w:rsidRDefault="00F7652F" w:rsidP="00F7652F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Данные графы </w:t>
      </w:r>
      <w:r w:rsidR="00476DCE"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детализируются в следующем разрезе:</w:t>
      </w:r>
    </w:p>
    <w:p w14:paraId="7A7D6161" w14:textId="77777777" w:rsidR="00F7652F" w:rsidRPr="00346315" w:rsidRDefault="00F7652F" w:rsidP="00F7652F">
      <w:p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том числе образовательная деятельность, всего;</w:t>
      </w:r>
    </w:p>
    <w:p w14:paraId="370DCDEF" w14:textId="77777777" w:rsidR="00F7652F" w:rsidRPr="00050EB1" w:rsidRDefault="00F7652F" w:rsidP="00F7652F">
      <w:pPr>
        <w:pBdr>
          <w:top w:val="nil"/>
          <w:left w:val="nil"/>
          <w:bottom w:val="nil"/>
          <w:right w:val="nil"/>
          <w:between w:val="nil"/>
        </w:pBdr>
        <w:spacing w:after="0"/>
        <w:ind w:left="17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них высшего образования.</w:t>
      </w:r>
    </w:p>
    <w:p w14:paraId="27A221DE" w14:textId="77777777" w:rsidR="00F7652F" w:rsidRDefault="00F7652F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left="184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FA0589" w14:textId="77777777" w:rsidR="00476DCE" w:rsidRDefault="00476DCE" w:rsidP="00476DCE">
      <w:pPr>
        <w:pBdr>
          <w:top w:val="nil"/>
          <w:left w:val="nil"/>
          <w:bottom w:val="nil"/>
          <w:right w:val="nil"/>
          <w:between w:val="nil"/>
        </w:pBdr>
        <w:spacing w:after="0"/>
        <w:ind w:left="14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Кроме того, из графы 6 по графе 9 выделяются следующие сведения:</w:t>
      </w:r>
    </w:p>
    <w:p w14:paraId="3FB321FA" w14:textId="77777777" w:rsidR="00BD34CB" w:rsidRPr="00346315" w:rsidRDefault="002C696E" w:rsidP="00346315">
      <w:pPr>
        <w:pStyle w:val="a8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</w:t>
      </w:r>
      <w:r w:rsidR="00BD34CB"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поддержка в связи с ограничительными мерами, направленным</w:t>
      </w:r>
      <w:r w:rsidR="00476DCE"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на предотвращения новой </w:t>
      </w:r>
      <w:proofErr w:type="spellStart"/>
      <w:r w:rsidR="00476DCE"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корона</w:t>
      </w:r>
      <w:r w:rsidR="00BD34CB"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вирусной</w:t>
      </w:r>
      <w:proofErr w:type="spellEnd"/>
      <w:r w:rsidR="00BD34CB"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инфекции и обеспечение санитарно-эпидемиологического благополучия населения</w:t>
      </w:r>
      <w:r w:rsidR="00DC30D2"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30D2" w:rsidRPr="003463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(отражаются средства</w:t>
      </w:r>
      <w:r w:rsidR="002D57B1" w:rsidRPr="003463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DC30D2" w:rsidRPr="003463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выделенные по коду 05-08</w:t>
      </w:r>
      <w:r w:rsidR="002D57B1" w:rsidRPr="00346315"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 xml:space="preserve"> </w:t>
      </w:r>
      <w:r w:rsidR="00DC30D2" w:rsidRPr="00346315">
        <w:rPr>
          <w:rFonts w:ascii="Arial" w:hAnsi="Arial" w:cs="Arial"/>
          <w:i/>
          <w:iCs/>
          <w:color w:val="333333"/>
          <w:sz w:val="27"/>
          <w:szCs w:val="27"/>
          <w:shd w:val="clear" w:color="auto" w:fill="FFFFFF"/>
        </w:rPr>
        <w:t>«</w:t>
      </w:r>
      <w:r w:rsidR="00DC30D2" w:rsidRPr="003463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Субсидии</w:t>
      </w:r>
      <w:r w:rsidR="002D57B1" w:rsidRPr="003463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C30D2" w:rsidRPr="003463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в целях государственной поддержки учреждений при реализации ограничительных мер, направленных на </w:t>
      </w:r>
      <w:r w:rsidR="00DC30D2" w:rsidRPr="003463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предотвращение распространения заболевания, представляющего опасность для окружающих, эпидемий (пандемий), и обеспечение санитарно-эпидемиологического благополучия населения» и субсидии из средств резервного фонда Правительства Российской Федерации)</w:t>
      </w:r>
      <w:r w:rsidR="007158E2" w:rsidRPr="003463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62B390E" w14:textId="77777777" w:rsidR="00A31DB6" w:rsidRPr="00ED08D5" w:rsidRDefault="00F51549" w:rsidP="00ED08D5">
      <w:pPr>
        <w:pStyle w:val="a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0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Форма </w:t>
      </w:r>
      <w:r w:rsidR="00CF324B" w:rsidRPr="00ED0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предполагает отражение данных финансовых показателей учреждения в следующем </w:t>
      </w:r>
      <w:r w:rsidR="00644A86" w:rsidRPr="00ED0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разрезе:</w:t>
      </w:r>
    </w:p>
    <w:p w14:paraId="5338A1A1" w14:textId="77777777" w:rsidR="00BD34CB" w:rsidRDefault="00BD34CB" w:rsidP="00ED08D5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Остаток средств на начало </w:t>
      </w:r>
      <w:r w:rsidR="00846676">
        <w:rPr>
          <w:rFonts w:ascii="Times New Roman" w:eastAsia="Times New Roman" w:hAnsi="Times New Roman" w:cs="Times New Roman"/>
          <w:i/>
          <w:sz w:val="24"/>
          <w:szCs w:val="24"/>
        </w:rPr>
        <w:t>отчетного периода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3E9D8BA2" w14:textId="77777777" w:rsidR="00F31F2F" w:rsidRDefault="00F31F2F" w:rsidP="00ED08D5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Поступления</w:t>
      </w:r>
      <w:r w:rsidR="00846676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3D02A024" w14:textId="77777777" w:rsidR="00A31DB6" w:rsidRPr="00793780" w:rsidRDefault="00CF324B" w:rsidP="00ED08D5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3780">
        <w:rPr>
          <w:rFonts w:ascii="Times New Roman" w:eastAsia="Times New Roman" w:hAnsi="Times New Roman" w:cs="Times New Roman"/>
          <w:i/>
          <w:sz w:val="24"/>
          <w:szCs w:val="24"/>
        </w:rPr>
        <w:t>Выплаты</w:t>
      </w:r>
      <w:r w:rsidR="00644A8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8C65A33" w14:textId="77777777" w:rsidR="00494010" w:rsidRPr="004707C9" w:rsidRDefault="00494010" w:rsidP="00ED08D5">
      <w:pPr>
        <w:spacing w:after="0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07C9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и выплаты формируются детализировано по предоставленным строкам при этом должны быть соблюдены соотношения соответствующим </w:t>
      </w:r>
      <w:r w:rsidR="008D141E" w:rsidRPr="004707C9">
        <w:rPr>
          <w:rFonts w:ascii="Times New Roman" w:eastAsia="Times New Roman" w:hAnsi="Times New Roman" w:cs="Times New Roman"/>
          <w:sz w:val="24"/>
          <w:szCs w:val="24"/>
        </w:rPr>
        <w:t>строкам/</w:t>
      </w:r>
      <w:r w:rsidRPr="004707C9">
        <w:rPr>
          <w:rFonts w:ascii="Times New Roman" w:eastAsia="Times New Roman" w:hAnsi="Times New Roman" w:cs="Times New Roman"/>
          <w:sz w:val="24"/>
          <w:szCs w:val="24"/>
        </w:rPr>
        <w:t>подстрокам, используемым при заполнении ПФХД учреждения.</w:t>
      </w:r>
    </w:p>
    <w:p w14:paraId="12A98347" w14:textId="23F9903A" w:rsidR="00A31DB6" w:rsidRPr="00E33372" w:rsidRDefault="00CF324B" w:rsidP="00ED08D5">
      <w:pPr>
        <w:pStyle w:val="a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Таблица предполагает отражение фактических поступлени</w:t>
      </w:r>
      <w:r w:rsidR="00F51549" w:rsidRPr="00E3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и выплат на отчетные даты по </w:t>
      </w:r>
      <w:r w:rsidRPr="00E333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отчетным периодам</w:t>
      </w:r>
      <w:r w:rsidR="004707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760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7C9" w:rsidRPr="004707C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01.01.2021 </w:t>
      </w:r>
      <w:r w:rsidR="004707C9" w:rsidRPr="004707C9">
        <w:rPr>
          <w:rFonts w:ascii="Times New Roman" w:eastAsia="Times New Roman" w:hAnsi="Times New Roman" w:cs="Times New Roman"/>
          <w:bCs/>
          <w:sz w:val="24"/>
          <w:szCs w:val="24"/>
        </w:rPr>
        <w:t>данные приводятся в соответствии с оперативным и управленческим учетом организации</w:t>
      </w:r>
      <w:r w:rsidR="00F51549" w:rsidRPr="004707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1DF16B" w14:textId="77777777" w:rsidR="00C55F07" w:rsidRPr="00E33372" w:rsidRDefault="00C55F07" w:rsidP="00ED08D5">
      <w:pPr>
        <w:pStyle w:val="a8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C3594E" w14:textId="77777777" w:rsidR="00A31DB6" w:rsidRPr="00427182" w:rsidRDefault="00CF324B" w:rsidP="00ED08D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27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Принципы заполнения данных по поступлениям:</w:t>
      </w:r>
    </w:p>
    <w:p w14:paraId="2845F176" w14:textId="77777777" w:rsidR="00F51549" w:rsidRPr="00892F79" w:rsidRDefault="00F51549" w:rsidP="00ED08D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CF38B" w14:textId="6032A8CF" w:rsidR="007C2E8D" w:rsidRPr="00C51500" w:rsidRDefault="007C2E8D" w:rsidP="00ED08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F79">
        <w:rPr>
          <w:rFonts w:ascii="Times New Roman" w:eastAsia="Times New Roman" w:hAnsi="Times New Roman" w:cs="Times New Roman"/>
          <w:sz w:val="24"/>
          <w:szCs w:val="24"/>
        </w:rPr>
        <w:t>Строка 1 «</w:t>
      </w:r>
      <w:r w:rsidR="00F31F2F">
        <w:rPr>
          <w:rFonts w:ascii="Times New Roman" w:eastAsia="Times New Roman" w:hAnsi="Times New Roman" w:cs="Times New Roman"/>
          <w:sz w:val="24"/>
          <w:szCs w:val="24"/>
        </w:rPr>
        <w:t>Поступления</w:t>
      </w:r>
      <w:r w:rsidRPr="00892F79">
        <w:rPr>
          <w:rFonts w:ascii="Times New Roman" w:eastAsia="Times New Roman" w:hAnsi="Times New Roman" w:cs="Times New Roman"/>
          <w:sz w:val="24"/>
          <w:szCs w:val="24"/>
        </w:rPr>
        <w:t xml:space="preserve">, всего» отражаются </w:t>
      </w:r>
      <w:r w:rsidRPr="00C51500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CB0131" w:rsidRPr="00C5150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B0131" w:rsidRPr="00FB623E">
        <w:rPr>
          <w:rFonts w:ascii="Times New Roman" w:eastAsia="Times New Roman" w:hAnsi="Times New Roman" w:cs="Times New Roman"/>
          <w:sz w:val="24"/>
          <w:szCs w:val="24"/>
        </w:rPr>
        <w:t xml:space="preserve">код </w:t>
      </w:r>
      <w:r w:rsidR="001D3606">
        <w:rPr>
          <w:rFonts w:ascii="Times New Roman" w:eastAsia="Times New Roman" w:hAnsi="Times New Roman" w:cs="Times New Roman"/>
          <w:sz w:val="24"/>
          <w:szCs w:val="24"/>
        </w:rPr>
        <w:t xml:space="preserve">ПФХД </w:t>
      </w:r>
      <w:r w:rsidR="00CB0131" w:rsidRPr="00FB623E">
        <w:rPr>
          <w:rFonts w:ascii="Times New Roman" w:eastAsia="Times New Roman" w:hAnsi="Times New Roman" w:cs="Times New Roman"/>
          <w:sz w:val="24"/>
          <w:szCs w:val="24"/>
        </w:rPr>
        <w:t>строки 10</w:t>
      </w:r>
      <w:r w:rsidR="00F31F2F" w:rsidRPr="00FB623E">
        <w:rPr>
          <w:rFonts w:ascii="Times New Roman" w:eastAsia="Times New Roman" w:hAnsi="Times New Roman" w:cs="Times New Roman"/>
          <w:sz w:val="24"/>
          <w:szCs w:val="24"/>
        </w:rPr>
        <w:t>00</w:t>
      </w:r>
      <w:r w:rsidR="00CB0131" w:rsidRPr="00C5150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E4160C0" w14:textId="43885506" w:rsidR="00346315" w:rsidRDefault="00346315" w:rsidP="00ED08D5">
      <w:pPr>
        <w:pStyle w:val="a8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50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515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Поступления за счет средств от оказания услуг (выполнения работ) на платной основе</w:t>
      </w:r>
      <w:r w:rsidRPr="00C51500">
        <w:rPr>
          <w:rFonts w:ascii="Times New Roman" w:eastAsia="Times New Roman" w:hAnsi="Times New Roman" w:cs="Times New Roman"/>
          <w:sz w:val="24"/>
          <w:szCs w:val="24"/>
        </w:rPr>
        <w:t xml:space="preserve"> и от приносящей доход деятельности»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(КФО 2);</w:t>
      </w:r>
    </w:p>
    <w:p w14:paraId="544982C3" w14:textId="77777777" w:rsidR="00346315" w:rsidRPr="00346315" w:rsidRDefault="00346315" w:rsidP="0034631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315">
        <w:rPr>
          <w:rFonts w:ascii="Times New Roman" w:eastAsia="Times New Roman" w:hAnsi="Times New Roman" w:cs="Times New Roman"/>
          <w:i/>
          <w:sz w:val="24"/>
          <w:szCs w:val="24"/>
        </w:rPr>
        <w:t>Примечание: из данных по строке 1.1.</w:t>
      </w:r>
      <w:r w:rsidRPr="003463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6315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Pr="0034631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Поступления за счет средств от оказания услуг (выполнения работ) на платной основе</w:t>
      </w:r>
      <w:r w:rsidRPr="00346315">
        <w:rPr>
          <w:rFonts w:ascii="Times New Roman" w:eastAsia="Times New Roman" w:hAnsi="Times New Roman" w:cs="Times New Roman"/>
          <w:i/>
          <w:sz w:val="24"/>
          <w:szCs w:val="24"/>
        </w:rPr>
        <w:t xml:space="preserve"> и от приносящей доход деятельности» выделяются строки: 1.1.1. «Доходы от медицинской деятельности», 1.1.2. «Безвозмездные денежные средства», 1.1.3. «Поступления заемных средств».</w:t>
      </w:r>
    </w:p>
    <w:p w14:paraId="72A04FF5" w14:textId="77777777" w:rsidR="00346315" w:rsidRDefault="00CA5425" w:rsidP="00346315">
      <w:pPr>
        <w:pStyle w:val="a8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r w:rsidR="00346315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346315" w:rsidRPr="00ED08D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631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46315" w:rsidRPr="00ED08D5">
        <w:rPr>
          <w:rFonts w:ascii="Times New Roman" w:eastAsia="Times New Roman" w:hAnsi="Times New Roman" w:cs="Times New Roman"/>
          <w:sz w:val="24"/>
          <w:szCs w:val="24"/>
        </w:rPr>
        <w:t>оход от медицинской деятельности» (КБК 130)</w:t>
      </w:r>
      <w:r w:rsidR="0034631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9F3A35" w14:textId="0B2851DC" w:rsidR="0022619B" w:rsidRPr="00ED08D5" w:rsidRDefault="00346315" w:rsidP="00346315">
      <w:pPr>
        <w:pStyle w:val="a8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19B" w:rsidRPr="00ED08D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E7D77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2619B" w:rsidRPr="00ED08D5">
        <w:rPr>
          <w:rFonts w:ascii="Times New Roman" w:eastAsia="Times New Roman" w:hAnsi="Times New Roman" w:cs="Times New Roman"/>
          <w:sz w:val="24"/>
          <w:szCs w:val="24"/>
        </w:rPr>
        <w:t>езвозмездные денежные средства» (КБК 150)</w:t>
      </w:r>
      <w:r w:rsidR="002D57B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88CC3C" w14:textId="669FB8E5" w:rsidR="0022619B" w:rsidRPr="00ED08D5" w:rsidRDefault="00CA5425" w:rsidP="00ED08D5">
      <w:pPr>
        <w:pStyle w:val="a8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1.1.3.</w:t>
      </w:r>
      <w:r w:rsidR="00C22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19B" w:rsidRPr="00ED08D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E7D7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2619B" w:rsidRPr="00ED08D5">
        <w:rPr>
          <w:rFonts w:ascii="Times New Roman" w:eastAsia="Times New Roman" w:hAnsi="Times New Roman" w:cs="Times New Roman"/>
          <w:sz w:val="24"/>
          <w:szCs w:val="24"/>
        </w:rPr>
        <w:t>оступления заемных средств» (</w:t>
      </w:r>
      <w:r w:rsidR="003C159C" w:rsidRPr="008A37A3">
        <w:rPr>
          <w:rFonts w:ascii="Times New Roman" w:eastAsia="Times New Roman" w:hAnsi="Times New Roman" w:cs="Times New Roman"/>
          <w:sz w:val="24"/>
          <w:szCs w:val="24"/>
        </w:rPr>
        <w:t>КОСГУ</w:t>
      </w:r>
      <w:r w:rsidR="0022619B" w:rsidRPr="008A37A3">
        <w:rPr>
          <w:rFonts w:ascii="Times New Roman" w:eastAsia="Times New Roman" w:hAnsi="Times New Roman" w:cs="Times New Roman"/>
          <w:sz w:val="24"/>
          <w:szCs w:val="24"/>
        </w:rPr>
        <w:t xml:space="preserve"> 710</w:t>
      </w:r>
      <w:r w:rsidR="0022619B" w:rsidRPr="00ED08D5">
        <w:rPr>
          <w:rFonts w:ascii="Times New Roman" w:eastAsia="Times New Roman" w:hAnsi="Times New Roman" w:cs="Times New Roman"/>
          <w:sz w:val="24"/>
          <w:szCs w:val="24"/>
        </w:rPr>
        <w:t>)</w:t>
      </w:r>
      <w:r w:rsidR="002D57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0FF07E" w14:textId="77777777" w:rsidR="00E874F6" w:rsidRDefault="00E874F6" w:rsidP="00ED08D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</w:p>
    <w:p w14:paraId="4389CB52" w14:textId="77777777" w:rsidR="00A31DB6" w:rsidRPr="00BF616E" w:rsidRDefault="00CF324B" w:rsidP="00ED08D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F61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Принципы заполнения данных по выплатам:</w:t>
      </w:r>
    </w:p>
    <w:p w14:paraId="1849CF73" w14:textId="77777777" w:rsidR="00427182" w:rsidRPr="00BF616E" w:rsidRDefault="00427182" w:rsidP="00ED08D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A82D44" w14:textId="77777777" w:rsidR="005D05A9" w:rsidRPr="00BF616E" w:rsidRDefault="00CF324B" w:rsidP="00ED0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Строка </w:t>
      </w:r>
      <w:r w:rsidR="00E874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«Выплаты» рассчитывается автоматически как сумма строк:</w:t>
      </w:r>
    </w:p>
    <w:p w14:paraId="68DD7646" w14:textId="70E3F8FB" w:rsidR="005D05A9" w:rsidRPr="008B1AA9" w:rsidRDefault="00E874F6" w:rsidP="00ED08D5">
      <w:pPr>
        <w:pStyle w:val="a8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B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CF324B" w:rsidRPr="008B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«Выплаты персоналу» (КВР 111,112,113,119,130</w:t>
      </w:r>
      <w:r w:rsidR="00EC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244 (в части ГПХ)</w:t>
      </w:r>
      <w:r w:rsidR="00CF324B" w:rsidRPr="008B1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130F3CD7" w14:textId="77777777" w:rsidR="005D05A9" w:rsidRPr="008B1AA9" w:rsidRDefault="00E874F6" w:rsidP="00ED08D5">
      <w:pPr>
        <w:pStyle w:val="a8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A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324B" w:rsidRPr="008B1AA9">
        <w:rPr>
          <w:rFonts w:ascii="Times New Roman" w:eastAsia="Times New Roman" w:hAnsi="Times New Roman" w:cs="Times New Roman"/>
          <w:sz w:val="24"/>
          <w:szCs w:val="24"/>
        </w:rPr>
        <w:t>.2. «Социальные и иные выплаты населению</w:t>
      </w:r>
      <w:r w:rsidR="00BF7781" w:rsidRPr="008B1AA9">
        <w:rPr>
          <w:rFonts w:ascii="Times New Roman" w:eastAsia="Times New Roman" w:hAnsi="Times New Roman" w:cs="Times New Roman"/>
          <w:sz w:val="24"/>
          <w:szCs w:val="24"/>
        </w:rPr>
        <w:t>, всего</w:t>
      </w:r>
      <w:r w:rsidR="00CF324B" w:rsidRPr="008B1AA9">
        <w:rPr>
          <w:rFonts w:ascii="Times New Roman" w:eastAsia="Times New Roman" w:hAnsi="Times New Roman" w:cs="Times New Roman"/>
          <w:sz w:val="24"/>
          <w:szCs w:val="24"/>
        </w:rPr>
        <w:t>» (КВР 300);</w:t>
      </w:r>
    </w:p>
    <w:p w14:paraId="4A9DBCAD" w14:textId="77777777" w:rsidR="005D05A9" w:rsidRPr="008B1AA9" w:rsidRDefault="00E874F6" w:rsidP="00ED08D5">
      <w:pPr>
        <w:pStyle w:val="a8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A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324B" w:rsidRPr="008B1AA9">
        <w:rPr>
          <w:rFonts w:ascii="Times New Roman" w:eastAsia="Times New Roman" w:hAnsi="Times New Roman" w:cs="Times New Roman"/>
          <w:sz w:val="24"/>
          <w:szCs w:val="24"/>
        </w:rPr>
        <w:t>.3. «Уплата налогов, сборов и иных платежей</w:t>
      </w:r>
      <w:r w:rsidR="00BF7781" w:rsidRPr="008B1AA9">
        <w:rPr>
          <w:rFonts w:ascii="Times New Roman" w:eastAsia="Times New Roman" w:hAnsi="Times New Roman" w:cs="Times New Roman"/>
          <w:sz w:val="24"/>
          <w:szCs w:val="24"/>
        </w:rPr>
        <w:t>, всего</w:t>
      </w:r>
      <w:r w:rsidR="00CF324B" w:rsidRPr="008B1AA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A4687" w:rsidRPr="008B1AA9">
        <w:rPr>
          <w:rFonts w:ascii="Times New Roman" w:eastAsia="Times New Roman" w:hAnsi="Times New Roman" w:cs="Times New Roman"/>
          <w:sz w:val="24"/>
          <w:szCs w:val="24"/>
        </w:rPr>
        <w:t xml:space="preserve"> (КВР</w:t>
      </w:r>
      <w:r w:rsidR="00D81897" w:rsidRPr="008B1AA9">
        <w:rPr>
          <w:rFonts w:ascii="Times New Roman" w:eastAsia="Times New Roman" w:hAnsi="Times New Roman" w:cs="Times New Roman"/>
          <w:sz w:val="24"/>
          <w:szCs w:val="24"/>
        </w:rPr>
        <w:t xml:space="preserve"> 850</w:t>
      </w:r>
      <w:r w:rsidR="00BA4687" w:rsidRPr="008B1A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324B" w:rsidRPr="008B1AA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5C1802" w14:textId="5B52115E" w:rsidR="005D05A9" w:rsidRPr="008B1AA9" w:rsidRDefault="00E874F6" w:rsidP="00ED08D5">
      <w:pPr>
        <w:pStyle w:val="a8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A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324B" w:rsidRPr="008B1AA9">
        <w:rPr>
          <w:rFonts w:ascii="Times New Roman" w:eastAsia="Times New Roman" w:hAnsi="Times New Roman" w:cs="Times New Roman"/>
          <w:sz w:val="24"/>
          <w:szCs w:val="24"/>
        </w:rPr>
        <w:t>.4. «Безвозмездные перечисления организациям и физическим лицам»</w:t>
      </w:r>
      <w:r w:rsidR="00BA4687" w:rsidRPr="008B1AA9">
        <w:rPr>
          <w:rFonts w:ascii="Times New Roman" w:eastAsia="Times New Roman" w:hAnsi="Times New Roman" w:cs="Times New Roman"/>
          <w:sz w:val="24"/>
          <w:szCs w:val="24"/>
        </w:rPr>
        <w:t xml:space="preserve"> (КВР</w:t>
      </w:r>
      <w:r w:rsidR="00CD2DDE" w:rsidRPr="008B1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DDE" w:rsidRPr="00C51500">
        <w:rPr>
          <w:rFonts w:ascii="Times New Roman" w:eastAsia="Times New Roman" w:hAnsi="Times New Roman" w:cs="Times New Roman"/>
          <w:sz w:val="24"/>
          <w:szCs w:val="24"/>
        </w:rPr>
        <w:t>613, 623, 634</w:t>
      </w:r>
      <w:r w:rsidR="00CD2DDE" w:rsidRPr="008B1A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2B0A">
        <w:rPr>
          <w:rFonts w:ascii="Times New Roman" w:eastAsia="Times New Roman" w:hAnsi="Times New Roman" w:cs="Times New Roman"/>
          <w:sz w:val="24"/>
          <w:szCs w:val="24"/>
        </w:rPr>
        <w:t xml:space="preserve">810, </w:t>
      </w:r>
      <w:r w:rsidR="00CD2DDE" w:rsidRPr="008B1AA9">
        <w:rPr>
          <w:rFonts w:ascii="Times New Roman" w:eastAsia="Times New Roman" w:hAnsi="Times New Roman" w:cs="Times New Roman"/>
          <w:sz w:val="24"/>
          <w:szCs w:val="24"/>
        </w:rPr>
        <w:t>814, 862, 863</w:t>
      </w:r>
      <w:r w:rsidR="00BA4687" w:rsidRPr="008B1A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CF324B" w:rsidRPr="008B1AA9">
        <w:rPr>
          <w:rFonts w:ascii="Times New Roman" w:eastAsia="Times New Roman" w:hAnsi="Times New Roman" w:cs="Times New Roman"/>
          <w:sz w:val="24"/>
          <w:szCs w:val="24"/>
        </w:rPr>
        <w:t>;</w:t>
      </w:r>
      <w:r w:rsidR="00BA4687" w:rsidRPr="008B1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11D26E" w14:textId="27A5F353" w:rsidR="005D05A9" w:rsidRPr="008B1AA9" w:rsidRDefault="00E874F6" w:rsidP="00ED08D5">
      <w:pPr>
        <w:pStyle w:val="a8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A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324B" w:rsidRPr="008B1AA9">
        <w:rPr>
          <w:rFonts w:ascii="Times New Roman" w:eastAsia="Times New Roman" w:hAnsi="Times New Roman" w:cs="Times New Roman"/>
          <w:sz w:val="24"/>
          <w:szCs w:val="24"/>
        </w:rPr>
        <w:t>.5. «Расходы на з</w:t>
      </w:r>
      <w:r w:rsidR="005D05A9" w:rsidRPr="008B1AA9">
        <w:rPr>
          <w:rFonts w:ascii="Times New Roman" w:eastAsia="Times New Roman" w:hAnsi="Times New Roman" w:cs="Times New Roman"/>
          <w:sz w:val="24"/>
          <w:szCs w:val="24"/>
        </w:rPr>
        <w:t>акупку товаров, работ и услуг»</w:t>
      </w:r>
      <w:r w:rsidR="00BA4687" w:rsidRPr="008B1AA9">
        <w:rPr>
          <w:rFonts w:ascii="Times New Roman" w:eastAsia="Times New Roman" w:hAnsi="Times New Roman" w:cs="Times New Roman"/>
          <w:sz w:val="24"/>
          <w:szCs w:val="24"/>
        </w:rPr>
        <w:t xml:space="preserve"> (КВР</w:t>
      </w:r>
      <w:r w:rsidR="00D81897" w:rsidRPr="008B1AA9">
        <w:rPr>
          <w:rFonts w:ascii="Times New Roman" w:eastAsia="Times New Roman" w:hAnsi="Times New Roman" w:cs="Times New Roman"/>
          <w:sz w:val="24"/>
          <w:szCs w:val="24"/>
        </w:rPr>
        <w:t xml:space="preserve"> 240</w:t>
      </w:r>
      <w:r w:rsidR="00EC2B0A">
        <w:rPr>
          <w:rFonts w:ascii="Times New Roman" w:eastAsia="Times New Roman" w:hAnsi="Times New Roman" w:cs="Times New Roman"/>
          <w:sz w:val="24"/>
          <w:szCs w:val="24"/>
        </w:rPr>
        <w:t>, 244, 400</w:t>
      </w:r>
      <w:r w:rsidR="00BA4687" w:rsidRPr="008B1A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05A9" w:rsidRPr="008B1AA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C2874D" w14:textId="58AB4EF5" w:rsidR="00A31DB6" w:rsidRPr="008B1AA9" w:rsidRDefault="00E874F6" w:rsidP="00ED08D5">
      <w:pPr>
        <w:pStyle w:val="a8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A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05A9" w:rsidRPr="008B1AA9">
        <w:rPr>
          <w:rFonts w:ascii="Times New Roman" w:eastAsia="Times New Roman" w:hAnsi="Times New Roman" w:cs="Times New Roman"/>
          <w:sz w:val="24"/>
          <w:szCs w:val="24"/>
        </w:rPr>
        <w:t>.6. «Прочие выплаты, всего</w:t>
      </w:r>
      <w:r w:rsidR="005D05A9" w:rsidRPr="004707C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40F65" w:rsidRPr="00470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7C9" w:rsidRPr="004707C9">
        <w:rPr>
          <w:rFonts w:ascii="Times New Roman" w:eastAsia="Times New Roman" w:hAnsi="Times New Roman" w:cs="Times New Roman"/>
          <w:sz w:val="24"/>
          <w:szCs w:val="24"/>
        </w:rPr>
        <w:t>(</w:t>
      </w:r>
      <w:r w:rsidR="00E01589" w:rsidRPr="004707C9">
        <w:rPr>
          <w:rFonts w:ascii="Times New Roman" w:eastAsia="Times New Roman" w:hAnsi="Times New Roman" w:cs="Times New Roman"/>
          <w:sz w:val="24"/>
          <w:szCs w:val="24"/>
        </w:rPr>
        <w:t xml:space="preserve">КБК/КОСГУ </w:t>
      </w:r>
      <w:r w:rsidR="00CD2DDE" w:rsidRPr="004707C9">
        <w:rPr>
          <w:rFonts w:ascii="Times New Roman" w:eastAsia="Times New Roman" w:hAnsi="Times New Roman" w:cs="Times New Roman"/>
          <w:sz w:val="24"/>
          <w:szCs w:val="24"/>
        </w:rPr>
        <w:t>610</w:t>
      </w:r>
      <w:r w:rsidR="00540F65" w:rsidRPr="008B1A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2DDE" w:rsidRPr="008B1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F65" w:rsidRPr="008B1AA9">
        <w:rPr>
          <w:rFonts w:ascii="Times New Roman" w:eastAsia="Times New Roman" w:hAnsi="Times New Roman" w:cs="Times New Roman"/>
          <w:sz w:val="24"/>
          <w:szCs w:val="24"/>
        </w:rPr>
        <w:t>520, 530, 540</w:t>
      </w:r>
      <w:r w:rsidR="00EC2B0A">
        <w:rPr>
          <w:rFonts w:ascii="Times New Roman" w:eastAsia="Times New Roman" w:hAnsi="Times New Roman" w:cs="Times New Roman"/>
          <w:sz w:val="24"/>
          <w:szCs w:val="24"/>
        </w:rPr>
        <w:t>, 830</w:t>
      </w:r>
      <w:r w:rsidR="00540F65" w:rsidRPr="008B1A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B9705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CD576E" w14:textId="77777777" w:rsidR="005D05A9" w:rsidRPr="00B97055" w:rsidRDefault="00CF324B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1AA9">
        <w:rPr>
          <w:rFonts w:ascii="Times New Roman" w:eastAsia="Times New Roman" w:hAnsi="Times New Roman" w:cs="Times New Roman"/>
          <w:i/>
          <w:sz w:val="24"/>
          <w:szCs w:val="24"/>
        </w:rPr>
        <w:t>Примечание:</w:t>
      </w:r>
      <w:r w:rsidR="00E874F6" w:rsidRPr="008B1AA9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Pr="008B1AA9">
        <w:rPr>
          <w:rFonts w:ascii="Times New Roman" w:eastAsia="Times New Roman" w:hAnsi="Times New Roman" w:cs="Times New Roman"/>
          <w:i/>
          <w:sz w:val="24"/>
          <w:szCs w:val="24"/>
        </w:rPr>
        <w:t xml:space="preserve">з данных по строке </w:t>
      </w:r>
      <w:r w:rsidR="00E874F6" w:rsidRPr="008B1AA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8B1AA9">
        <w:rPr>
          <w:rFonts w:ascii="Times New Roman" w:eastAsia="Times New Roman" w:hAnsi="Times New Roman" w:cs="Times New Roman"/>
          <w:i/>
          <w:sz w:val="24"/>
          <w:szCs w:val="24"/>
        </w:rPr>
        <w:t xml:space="preserve">.6. </w:t>
      </w:r>
      <w:r w:rsidRPr="00B97055">
        <w:rPr>
          <w:rFonts w:ascii="Times New Roman" w:eastAsia="Times New Roman" w:hAnsi="Times New Roman" w:cs="Times New Roman"/>
          <w:i/>
          <w:sz w:val="24"/>
          <w:szCs w:val="24"/>
        </w:rPr>
        <w:t>«Прочие выплаты, всего»</w:t>
      </w:r>
      <w:r w:rsidRPr="008B1AA9">
        <w:rPr>
          <w:rFonts w:ascii="Times New Roman" w:eastAsia="Times New Roman" w:hAnsi="Times New Roman" w:cs="Times New Roman"/>
          <w:i/>
          <w:sz w:val="24"/>
          <w:szCs w:val="24"/>
        </w:rPr>
        <w:t xml:space="preserve"> выделяются возвраты в бюджет средств субсидии в рамках строки </w:t>
      </w:r>
      <w:r w:rsidR="00E874F6" w:rsidRPr="008B1AA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CE7D77">
        <w:rPr>
          <w:rFonts w:ascii="Times New Roman" w:eastAsia="Times New Roman" w:hAnsi="Times New Roman" w:cs="Times New Roman"/>
          <w:i/>
          <w:sz w:val="24"/>
          <w:szCs w:val="24"/>
        </w:rPr>
        <w:t>.6.1. «</w:t>
      </w:r>
      <w:r w:rsidRPr="008B1AA9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возврат в бюджет средств субсидии». При этом данные, приведенные по строке </w:t>
      </w:r>
      <w:r w:rsidR="00E874F6" w:rsidRPr="008B1AA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CE7D77">
        <w:rPr>
          <w:rFonts w:ascii="Times New Roman" w:eastAsia="Times New Roman" w:hAnsi="Times New Roman" w:cs="Times New Roman"/>
          <w:i/>
          <w:sz w:val="24"/>
          <w:szCs w:val="24"/>
        </w:rPr>
        <w:t>.6.1. «</w:t>
      </w:r>
      <w:r w:rsidRPr="008B1AA9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возврат </w:t>
      </w:r>
      <w:r w:rsidR="005D05A9" w:rsidRPr="008B1AA9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8B1AA9">
        <w:rPr>
          <w:rFonts w:ascii="Times New Roman" w:eastAsia="Times New Roman" w:hAnsi="Times New Roman" w:cs="Times New Roman"/>
          <w:i/>
          <w:sz w:val="24"/>
          <w:szCs w:val="24"/>
        </w:rPr>
        <w:t xml:space="preserve">в бюджет средств субсидии» не могут превышать выплаты по строке </w:t>
      </w:r>
      <w:r w:rsidR="00E874F6" w:rsidRPr="008B1AA9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8B1AA9">
        <w:rPr>
          <w:rFonts w:ascii="Times New Roman" w:eastAsia="Times New Roman" w:hAnsi="Times New Roman" w:cs="Times New Roman"/>
          <w:i/>
          <w:sz w:val="24"/>
          <w:szCs w:val="24"/>
        </w:rPr>
        <w:t xml:space="preserve">.6. </w:t>
      </w:r>
      <w:r w:rsidRPr="00B97055">
        <w:rPr>
          <w:rFonts w:ascii="Times New Roman" w:eastAsia="Times New Roman" w:hAnsi="Times New Roman" w:cs="Times New Roman"/>
          <w:i/>
          <w:sz w:val="24"/>
          <w:szCs w:val="24"/>
        </w:rPr>
        <w:t>«Прочие выплаты, всего», соответствующих граф.</w:t>
      </w:r>
    </w:p>
    <w:p w14:paraId="1BA01B96" w14:textId="0E559A2B" w:rsidR="005D05A9" w:rsidRPr="00ED08D5" w:rsidRDefault="00E874F6" w:rsidP="00EB5560">
      <w:pPr>
        <w:pStyle w:val="a8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8D5">
        <w:rPr>
          <w:rFonts w:ascii="Times New Roman" w:eastAsia="Times New Roman" w:hAnsi="Times New Roman" w:cs="Times New Roman"/>
          <w:sz w:val="24"/>
          <w:szCs w:val="24"/>
        </w:rPr>
        <w:t>2</w:t>
      </w:r>
      <w:r w:rsidR="005D05A9" w:rsidRPr="00ED08D5">
        <w:rPr>
          <w:rFonts w:ascii="Times New Roman" w:eastAsia="Times New Roman" w:hAnsi="Times New Roman" w:cs="Times New Roman"/>
          <w:sz w:val="24"/>
          <w:szCs w:val="24"/>
        </w:rPr>
        <w:t xml:space="preserve">.7. «Выплаты по заемным </w:t>
      </w:r>
      <w:r w:rsidR="00892F79" w:rsidRPr="00ED08D5">
        <w:rPr>
          <w:rFonts w:ascii="Times New Roman" w:eastAsia="Times New Roman" w:hAnsi="Times New Roman" w:cs="Times New Roman"/>
          <w:sz w:val="24"/>
          <w:szCs w:val="24"/>
        </w:rPr>
        <w:t>средствам» («Возврат ссуд, кредитов (заимствований)</w:t>
      </w:r>
      <w:r w:rsidR="00C0062B" w:rsidRPr="00ED08D5">
        <w:rPr>
          <w:rFonts w:ascii="Times New Roman" w:eastAsia="Times New Roman" w:hAnsi="Times New Roman" w:cs="Times New Roman"/>
          <w:sz w:val="24"/>
          <w:szCs w:val="24"/>
        </w:rPr>
        <w:t>») (</w:t>
      </w:r>
      <w:r w:rsidR="00810CC7" w:rsidRPr="008A37A3">
        <w:rPr>
          <w:rFonts w:ascii="Times New Roman" w:eastAsia="Times New Roman" w:hAnsi="Times New Roman" w:cs="Times New Roman"/>
          <w:sz w:val="24"/>
          <w:szCs w:val="24"/>
        </w:rPr>
        <w:t>КОСГУ 810</w:t>
      </w:r>
      <w:r w:rsidR="00BA4687" w:rsidRPr="008A37A3">
        <w:rPr>
          <w:rFonts w:ascii="Times New Roman" w:eastAsia="Times New Roman" w:hAnsi="Times New Roman" w:cs="Times New Roman"/>
          <w:sz w:val="24"/>
          <w:szCs w:val="24"/>
        </w:rPr>
        <w:t>)</w:t>
      </w:r>
      <w:r w:rsidR="005D05A9" w:rsidRPr="008A37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422F9" w:rsidRPr="00ED0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4F1072" w14:textId="77777777" w:rsidR="00A31DB6" w:rsidRDefault="00CF324B" w:rsidP="00ED0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Строка </w:t>
      </w:r>
      <w:r w:rsidR="00E874F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 «Выплаты персоналу» рассчитывается автоматически</w:t>
      </w:r>
      <w:r w:rsidR="00B970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сумма строк:</w:t>
      </w:r>
    </w:p>
    <w:p w14:paraId="3C36E624" w14:textId="268788B0" w:rsidR="00A31DB6" w:rsidRDefault="00E874F6" w:rsidP="00ED08D5">
      <w:pPr>
        <w:pStyle w:val="a8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="00CF324B" w:rsidRPr="005D05A9">
        <w:rPr>
          <w:rFonts w:ascii="Times New Roman" w:eastAsia="Times New Roman" w:hAnsi="Times New Roman" w:cs="Times New Roman"/>
          <w:color w:val="000000"/>
          <w:sz w:val="24"/>
          <w:szCs w:val="24"/>
        </w:rPr>
        <w:t>.1.1. «Оплата труда» (КВР 111</w:t>
      </w:r>
      <w:r w:rsidR="00EC2B0A">
        <w:rPr>
          <w:rFonts w:ascii="Times New Roman" w:eastAsia="Times New Roman" w:hAnsi="Times New Roman" w:cs="Times New Roman"/>
          <w:color w:val="000000"/>
          <w:sz w:val="24"/>
          <w:szCs w:val="24"/>
        </w:rPr>
        <w:t>, 244 (в части ГПХ</w:t>
      </w:r>
      <w:r w:rsidR="00CF324B" w:rsidRPr="005D05A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9602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F324B" w:rsidRPr="005D05A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127CF2B" w14:textId="77777777" w:rsidR="000056CC" w:rsidRDefault="00D65924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659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Примечание: данн</w:t>
      </w:r>
      <w:r w:rsidR="00BF77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ые по строкам </w:t>
      </w:r>
      <w:r w:rsidR="00E874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BF77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.1.1.1. - </w:t>
      </w:r>
      <w:r w:rsidR="00E874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BF77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.1.1.</w:t>
      </w:r>
      <w:r w:rsidR="00E874F6" w:rsidRPr="00B767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5F064C" w:rsidRPr="00B767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B767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D659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«Оплата труда» необходимо указать сум</w:t>
      </w:r>
      <w:r w:rsidR="00EB55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</w:t>
      </w:r>
      <w:r w:rsidRPr="00D659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ы с учетом всего персонала, в том числе внутренних и внешних совместителей. При это</w:t>
      </w:r>
      <w:r w:rsidR="00BF77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 суммы строк </w:t>
      </w:r>
      <w:r w:rsidR="00E874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BF77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.1.1.1 – </w:t>
      </w:r>
      <w:r w:rsidR="00E874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BF77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.1.1.</w:t>
      </w:r>
      <w:r w:rsidR="00E874F6" w:rsidRPr="00B767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5F064C" w:rsidRPr="00B767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B7678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D659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не могут превышать выплаты по строке </w:t>
      </w:r>
      <w:r w:rsidR="00E874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D6592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.1.1.</w:t>
      </w:r>
    </w:p>
    <w:p w14:paraId="0F43612B" w14:textId="77777777" w:rsidR="00104825" w:rsidRDefault="00104825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Строка </w:t>
      </w:r>
      <w:r w:rsidR="005F064C" w:rsidRPr="005F06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2.1.1.5.1.</w:t>
      </w:r>
      <w:r w:rsidR="005F06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 </w:t>
      </w:r>
      <w:r w:rsidR="00EF024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участвует в сумме строки 2.1.1. «Оплата труда», так как входит в строку 2.1.1.5. «Научные работники».</w:t>
      </w:r>
    </w:p>
    <w:p w14:paraId="26F3591B" w14:textId="2670BB87" w:rsidR="00A31DB6" w:rsidRPr="000056CC" w:rsidRDefault="00E874F6" w:rsidP="00ED08D5">
      <w:pPr>
        <w:pStyle w:val="a8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.1.2. «Прочие в</w:t>
      </w:r>
      <w:r w:rsidR="005D40A3">
        <w:rPr>
          <w:rFonts w:ascii="Times New Roman" w:eastAsia="Times New Roman" w:hAnsi="Times New Roman" w:cs="Times New Roman"/>
          <w:color w:val="000000"/>
          <w:sz w:val="24"/>
          <w:szCs w:val="24"/>
        </w:rPr>
        <w:t>ыплаты персоналу» (КВР 112, 113</w:t>
      </w:r>
      <w:r w:rsidR="00EC2B0A">
        <w:rPr>
          <w:rFonts w:ascii="Times New Roman" w:eastAsia="Times New Roman" w:hAnsi="Times New Roman" w:cs="Times New Roman"/>
          <w:color w:val="000000"/>
          <w:sz w:val="24"/>
          <w:szCs w:val="24"/>
        </w:rPr>
        <w:t>, 130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0AE3A45" w14:textId="77777777" w:rsidR="005D40A3" w:rsidRPr="00A32EFB" w:rsidRDefault="005D05A9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Примечание: из данных по строке </w:t>
      </w:r>
      <w:r w:rsidR="00E874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.1.2. «Прочие выплаты персоналу» </w:t>
      </w:r>
      <w:r w:rsidR="005D40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необходимо выделить командировочные расходы в 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строк</w:t>
      </w:r>
      <w:r w:rsidR="005D40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874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.1.2.1. При этом выплаты, приведенные по строк</w:t>
      </w:r>
      <w:r w:rsidR="00186975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ам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.1.2.</w:t>
      </w:r>
      <w:r w:rsidR="005D40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="00AB44BB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не могут превыш</w:t>
      </w:r>
      <w:r w:rsidR="00186975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ать выплаты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строке </w:t>
      </w:r>
      <w:r w:rsid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186975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186975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2. 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соответствующих граф.</w:t>
      </w:r>
      <w:r w:rsidR="00BF616E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16FE64A0" w14:textId="77777777" w:rsidR="00A31DB6" w:rsidRPr="00BA4687" w:rsidRDefault="00A32EFB" w:rsidP="00ED08D5">
      <w:pPr>
        <w:pStyle w:val="a8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.1.3. «Страховые взносы на оплату труда» (КВР 119).</w:t>
      </w:r>
    </w:p>
    <w:p w14:paraId="386715C2" w14:textId="77777777" w:rsidR="00A32EFB" w:rsidRDefault="00A32EFB" w:rsidP="00ED0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Строка 2.2 «Социальные и иные выплаты населению»</w:t>
      </w:r>
      <w:r w:rsidRPr="00A32E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(КВР 300);</w:t>
      </w:r>
    </w:p>
    <w:p w14:paraId="65BA7FD4" w14:textId="77777777" w:rsidR="00A32EFB" w:rsidRPr="00BA4687" w:rsidRDefault="00A32EFB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Примечание: из данных по строке 2.2. 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Социальные и иные выплаты населению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 необходимо выделить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материальн</w:t>
      </w:r>
      <w:r w:rsidR="005F06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помощь обучающимся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строке 2.2.1. При этом выплаты, приведенные по строкам 2.2.1., не могут превышать выплаты</w:t>
      </w:r>
      <w:r w:rsidR="005F06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 строке 2.2.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соответствующих граф. </w:t>
      </w:r>
    </w:p>
    <w:p w14:paraId="3EC6C560" w14:textId="77777777" w:rsidR="00A32EFB" w:rsidRPr="00A32EFB" w:rsidRDefault="00A32EFB" w:rsidP="00ED0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Строка 2.3. </w:t>
      </w:r>
      <w:r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«Уплата налогов, сборов и иных платежей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DB3F1A" w:rsidRPr="00C0062B">
        <w:rPr>
          <w:rFonts w:ascii="Times New Roman" w:eastAsia="Times New Roman" w:hAnsi="Times New Roman" w:cs="Times New Roman"/>
          <w:sz w:val="24"/>
          <w:szCs w:val="24"/>
        </w:rPr>
        <w:t>(КВР</w:t>
      </w:r>
      <w:r w:rsidR="004422F9" w:rsidRPr="00C0062B">
        <w:rPr>
          <w:rFonts w:ascii="Times New Roman" w:eastAsia="Times New Roman" w:hAnsi="Times New Roman" w:cs="Times New Roman"/>
          <w:sz w:val="24"/>
          <w:szCs w:val="24"/>
        </w:rPr>
        <w:t xml:space="preserve"> 850</w:t>
      </w:r>
      <w:r w:rsidR="00DB3F1A" w:rsidRPr="00C0062B">
        <w:rPr>
          <w:rFonts w:ascii="Times New Roman" w:eastAsia="Times New Roman" w:hAnsi="Times New Roman" w:cs="Times New Roman"/>
          <w:sz w:val="24"/>
          <w:szCs w:val="24"/>
        </w:rPr>
        <w:t>)</w:t>
      </w:r>
      <w:r w:rsidR="00C0062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8EDA26" w14:textId="4287359F" w:rsidR="00A32EFB" w:rsidRPr="004707C9" w:rsidRDefault="00DB3F1A" w:rsidP="00ED0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62B">
        <w:rPr>
          <w:rFonts w:ascii="Times New Roman" w:eastAsia="Times New Roman" w:hAnsi="Times New Roman" w:cs="Times New Roman"/>
          <w:sz w:val="24"/>
          <w:szCs w:val="24"/>
        </w:rPr>
        <w:t xml:space="preserve">Строка 2.4. «Безвозмездные перечисления организациям и физическим лицам» </w:t>
      </w:r>
      <w:r w:rsidR="00AF34F9" w:rsidRPr="004707C9">
        <w:rPr>
          <w:rFonts w:ascii="Times New Roman" w:eastAsia="Times New Roman" w:hAnsi="Times New Roman" w:cs="Times New Roman"/>
          <w:sz w:val="24"/>
          <w:szCs w:val="24"/>
        </w:rPr>
        <w:t xml:space="preserve">(КВР 613, 623, 634, </w:t>
      </w:r>
      <w:r w:rsidR="00EC2B0A">
        <w:rPr>
          <w:rFonts w:ascii="Times New Roman" w:eastAsia="Times New Roman" w:hAnsi="Times New Roman" w:cs="Times New Roman"/>
          <w:sz w:val="24"/>
          <w:szCs w:val="24"/>
        </w:rPr>
        <w:t xml:space="preserve">810, </w:t>
      </w:r>
      <w:r w:rsidR="00AF34F9" w:rsidRPr="004707C9">
        <w:rPr>
          <w:rFonts w:ascii="Times New Roman" w:eastAsia="Times New Roman" w:hAnsi="Times New Roman" w:cs="Times New Roman"/>
          <w:sz w:val="24"/>
          <w:szCs w:val="24"/>
        </w:rPr>
        <w:t>814, 862, 863);</w:t>
      </w:r>
    </w:p>
    <w:p w14:paraId="0553E1B0" w14:textId="77777777" w:rsidR="00A31DB6" w:rsidRPr="000056CC" w:rsidRDefault="00CF324B" w:rsidP="00ED0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0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Строка </w:t>
      </w:r>
      <w:r w:rsidR="00DB3F1A" w:rsidRPr="004707C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707C9">
        <w:rPr>
          <w:rFonts w:ascii="Times New Roman" w:eastAsia="Times New Roman" w:hAnsi="Times New Roman" w:cs="Times New Roman"/>
          <w:color w:val="000000"/>
          <w:sz w:val="24"/>
          <w:szCs w:val="24"/>
        </w:rPr>
        <w:t>.5 «Расходы на</w:t>
      </w:r>
      <w:r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закупку товаров, работ и услуг</w:t>
      </w:r>
      <w:r w:rsidR="00C35EB2">
        <w:rPr>
          <w:rFonts w:ascii="Times New Roman" w:eastAsia="Times New Roman" w:hAnsi="Times New Roman" w:cs="Times New Roman"/>
          <w:color w:val="000000"/>
          <w:sz w:val="24"/>
          <w:szCs w:val="24"/>
        </w:rPr>
        <w:t>, всего</w:t>
      </w:r>
      <w:r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» рассчитывается автоматически как сумма строк:</w:t>
      </w:r>
    </w:p>
    <w:p w14:paraId="7E05D667" w14:textId="77777777" w:rsidR="00186975" w:rsidRDefault="00DB3F1A" w:rsidP="00ED08D5">
      <w:pPr>
        <w:pStyle w:val="a8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.5.1. </w:t>
      </w:r>
      <w:r w:rsidR="00186975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«Услуги вязи» (КВР</w:t>
      </w:r>
      <w:r w:rsidR="002B5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6975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244</w:t>
      </w:r>
      <w:r w:rsidR="0081052F">
        <w:rPr>
          <w:rFonts w:ascii="Times New Roman" w:eastAsia="Times New Roman" w:hAnsi="Times New Roman" w:cs="Times New Roman"/>
          <w:color w:val="000000"/>
          <w:sz w:val="24"/>
          <w:szCs w:val="24"/>
        </w:rPr>
        <w:t>, КОСГУ 221</w:t>
      </w:r>
      <w:r w:rsidR="00186975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40FF39D5" w14:textId="77777777" w:rsidR="00DB3F1A" w:rsidRPr="00A521DA" w:rsidRDefault="00DB3F1A" w:rsidP="00ED08D5">
      <w:pPr>
        <w:pStyle w:val="a8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1DA">
        <w:rPr>
          <w:rFonts w:ascii="Times New Roman" w:eastAsia="Times New Roman" w:hAnsi="Times New Roman" w:cs="Times New Roman"/>
          <w:sz w:val="24"/>
          <w:szCs w:val="24"/>
        </w:rPr>
        <w:t>2.5.2. «Транспортные услуги» (КВР</w:t>
      </w:r>
      <w:r w:rsidR="00A521DA" w:rsidRPr="00A521DA">
        <w:rPr>
          <w:rFonts w:ascii="Times New Roman" w:eastAsia="Times New Roman" w:hAnsi="Times New Roman" w:cs="Times New Roman"/>
          <w:sz w:val="24"/>
          <w:szCs w:val="24"/>
        </w:rPr>
        <w:t xml:space="preserve"> 244</w:t>
      </w:r>
      <w:r w:rsidR="0081052F">
        <w:rPr>
          <w:rFonts w:ascii="Times New Roman" w:eastAsia="Times New Roman" w:hAnsi="Times New Roman" w:cs="Times New Roman"/>
          <w:sz w:val="24"/>
          <w:szCs w:val="24"/>
        </w:rPr>
        <w:t>, КОСГУ 222</w:t>
      </w:r>
      <w:r w:rsidRPr="00A521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6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5A8982" w14:textId="77777777" w:rsidR="00A31DB6" w:rsidRPr="000056CC" w:rsidRDefault="00DB3F1A" w:rsidP="00ED08D5">
      <w:pPr>
        <w:pStyle w:val="a8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86975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86975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«Коммунальные услуги</w:t>
      </w:r>
      <w:r w:rsidR="002B5931">
        <w:rPr>
          <w:rFonts w:ascii="Times New Roman" w:eastAsia="Times New Roman" w:hAnsi="Times New Roman" w:cs="Times New Roman"/>
          <w:color w:val="000000"/>
          <w:sz w:val="24"/>
          <w:szCs w:val="24"/>
        </w:rPr>
        <w:t>, всего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» (КВР 244</w:t>
      </w:r>
      <w:r w:rsidR="00D7625A">
        <w:rPr>
          <w:rFonts w:ascii="Times New Roman" w:eastAsia="Times New Roman" w:hAnsi="Times New Roman" w:cs="Times New Roman"/>
          <w:color w:val="000000"/>
          <w:sz w:val="24"/>
          <w:szCs w:val="24"/>
        </w:rPr>
        <w:t>, КОСГУ 223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E59EDA3" w14:textId="77777777" w:rsidR="00186975" w:rsidRPr="000056CC" w:rsidRDefault="00186975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Примечание: из данных по строке 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.5.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«</w:t>
      </w:r>
      <w:r w:rsidR="00793780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Коммунальные услуги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 выделяются выплаты в виде электроэнергии, водоснабжения</w:t>
      </w:r>
      <w:r w:rsidR="002B59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водоотведения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2B59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теплоснабжения </w:t>
      </w:r>
      <w:r w:rsidR="00AB44BB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и газоснабжения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рамках строк 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.5.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.1.—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.5.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2B59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При этом выплаты, приведенные </w:t>
      </w:r>
      <w:r w:rsidR="00AB44BB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строкам 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AB44BB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.5.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AB44BB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.1.—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AB44BB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.5.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AB44BB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2B59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не могут превышать выплаты по строке 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AB44BB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</w:t>
      </w:r>
      <w:r w:rsidR="00C35E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соответствующих граф.</w:t>
      </w:r>
    </w:p>
    <w:p w14:paraId="7AFE3C89" w14:textId="77777777" w:rsidR="00A31DB6" w:rsidRPr="000056CC" w:rsidRDefault="00DB3F1A" w:rsidP="00ED08D5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86975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. «Работы, услуги по содержанию имущества» (КВР 244</w:t>
      </w:r>
      <w:r w:rsidR="00B472A2">
        <w:rPr>
          <w:rFonts w:ascii="Times New Roman" w:eastAsia="Times New Roman" w:hAnsi="Times New Roman" w:cs="Times New Roman"/>
          <w:color w:val="000000"/>
          <w:sz w:val="24"/>
          <w:szCs w:val="24"/>
        </w:rPr>
        <w:t>, КОСГУ 225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6654810" w14:textId="77777777" w:rsidR="00AB44BB" w:rsidRPr="000056CC" w:rsidRDefault="00AB44BB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Примечание: из данных по строке 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.5.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«Работы, услуги по содержанию имущества» выделяются выплаты в виде </w:t>
      </w:r>
      <w:r w:rsidR="005D33AD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дезинфекционных мероприятий и клининговых услуг в рамках строк 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5D33AD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.5.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5D33AD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.1.—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5D33AD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.5.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5D33AD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.2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При этом выплаты, приведенные </w:t>
      </w:r>
      <w:r w:rsidR="005D33AD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строкам 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5D33AD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.5.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5D33AD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.1.—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5D33AD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.5.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5D33AD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.2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не могут п</w:t>
      </w:r>
      <w:r w:rsidR="005D33AD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ревышать выплаты по строке 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="005D33AD"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.5.</w:t>
      </w:r>
      <w:r w:rsidR="00DB3F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r w:rsidR="00C35EB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0056C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соответствующих граф.</w:t>
      </w:r>
    </w:p>
    <w:p w14:paraId="768A3DB0" w14:textId="1E6100F7" w:rsidR="00A31DB6" w:rsidRDefault="00021D60" w:rsidP="00ED08D5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B44B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. «У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величение стоимости лекарственных препаратов и материалов, применяемых в медицинских целях</w:t>
      </w:r>
      <w:r w:rsidR="00A82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Рекомендациями Роспотребнадзора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» (КВР 244</w:t>
      </w:r>
      <w:r w:rsidR="00A82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2F5D" w:rsidRPr="00B472A2">
        <w:rPr>
          <w:rFonts w:ascii="Times New Roman" w:eastAsia="Times New Roman" w:hAnsi="Times New Roman" w:cs="Times New Roman"/>
          <w:sz w:val="24"/>
          <w:szCs w:val="24"/>
        </w:rPr>
        <w:t>КОСГУ 346</w:t>
      </w:r>
      <w:r w:rsidR="00EC2B0A">
        <w:rPr>
          <w:rFonts w:ascii="Times New Roman" w:eastAsia="Times New Roman" w:hAnsi="Times New Roman" w:cs="Times New Roman"/>
          <w:sz w:val="24"/>
          <w:szCs w:val="24"/>
        </w:rPr>
        <w:t>, 341</w:t>
      </w:r>
      <w:r w:rsidR="00CF324B" w:rsidRPr="00B472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06D8BC3" w14:textId="77777777" w:rsidR="00A82F5D" w:rsidRDefault="00130462" w:rsidP="00ED08D5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82F5D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82F5D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. «</w:t>
      </w:r>
      <w:r w:rsidR="00A82F5D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Закупка товаров, работ, услуг в целях капитального ремонта государственного (муниципального) имущества</w:t>
      </w:r>
      <w:r w:rsidR="00A82F5D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82F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2F5D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(КВР 24</w:t>
      </w:r>
      <w:r w:rsidR="00A82F5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82F5D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597975F" w14:textId="77777777" w:rsidR="00A82F5D" w:rsidRPr="000056CC" w:rsidRDefault="00130462" w:rsidP="00ED08D5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82F5D" w:rsidRPr="000056CC">
        <w:rPr>
          <w:rFonts w:ascii="Times New Roman" w:eastAsia="Times New Roman" w:hAnsi="Times New Roman" w:cs="Times New Roman"/>
          <w:sz w:val="24"/>
          <w:szCs w:val="24"/>
        </w:rPr>
        <w:t>.5.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82F5D" w:rsidRPr="000056CC">
        <w:rPr>
          <w:rFonts w:ascii="Times New Roman" w:eastAsia="Times New Roman" w:hAnsi="Times New Roman" w:cs="Times New Roman"/>
          <w:sz w:val="24"/>
          <w:szCs w:val="24"/>
        </w:rPr>
        <w:t>. «Увеличение стоимости основных средств</w:t>
      </w:r>
      <w:r w:rsidR="00A82F5D">
        <w:rPr>
          <w:rFonts w:ascii="Times New Roman" w:eastAsia="Times New Roman" w:hAnsi="Times New Roman" w:cs="Times New Roman"/>
          <w:sz w:val="24"/>
          <w:szCs w:val="24"/>
        </w:rPr>
        <w:t>, запасных частей, всего</w:t>
      </w:r>
      <w:r w:rsidR="00A82F5D" w:rsidRPr="000056CC">
        <w:rPr>
          <w:rFonts w:ascii="Times New Roman" w:eastAsia="Times New Roman" w:hAnsi="Times New Roman" w:cs="Times New Roman"/>
          <w:sz w:val="24"/>
          <w:szCs w:val="24"/>
        </w:rPr>
        <w:t>» (КВР 244);</w:t>
      </w:r>
    </w:p>
    <w:p w14:paraId="5397080E" w14:textId="77777777" w:rsidR="00A82F5D" w:rsidRDefault="00A82F5D" w:rsidP="00ED08D5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Примечание: из данных по строке 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.5.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. «Увеличение стоимости основных средств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запасных частей, всего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» выделяются выплаты в виде закупки компьютерной техники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серверного и периферийного оборудования, запасных частей и 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комплектующих </w:t>
      </w:r>
      <w:r w:rsidR="00130462" w:rsidRPr="000056C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 закупки оборудования обеззараживания воздуха, термометрии в соответствии с Рекомендациями Роспотребнадзора в рамках строк 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.5.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.1.—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.5.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.2. При этом выплаты, приведенные 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по строкам 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.5.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.1.—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.5.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.2. не могут превышать выплаты по строке 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.5.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.  соответствующих граф.</w:t>
      </w:r>
    </w:p>
    <w:p w14:paraId="641CD454" w14:textId="578B2316" w:rsidR="00D749C8" w:rsidRDefault="00D749C8" w:rsidP="00D749C8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49C8">
        <w:rPr>
          <w:rFonts w:ascii="Times New Roman" w:eastAsia="Times New Roman" w:hAnsi="Times New Roman" w:cs="Times New Roman"/>
          <w:sz w:val="24"/>
          <w:szCs w:val="24"/>
        </w:rPr>
        <w:t>2.5.8. «Увеличение стоимости материальных запасов» (КВР</w:t>
      </w:r>
      <w:r w:rsidR="00EC2B0A">
        <w:rPr>
          <w:rFonts w:ascii="Times New Roman" w:eastAsia="Times New Roman" w:hAnsi="Times New Roman" w:cs="Times New Roman"/>
          <w:sz w:val="24"/>
          <w:szCs w:val="24"/>
        </w:rPr>
        <w:t xml:space="preserve"> 244, КОСГУ</w:t>
      </w:r>
      <w:r w:rsidRPr="00D749C8">
        <w:rPr>
          <w:rFonts w:ascii="Times New Roman" w:eastAsia="Times New Roman" w:hAnsi="Times New Roman" w:cs="Times New Roman"/>
          <w:sz w:val="24"/>
          <w:szCs w:val="24"/>
        </w:rPr>
        <w:t xml:space="preserve"> 342);</w:t>
      </w:r>
    </w:p>
    <w:p w14:paraId="410A9327" w14:textId="0484E442" w:rsidR="00D749C8" w:rsidRPr="000056CC" w:rsidRDefault="00D749C8" w:rsidP="00ED08D5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Примечание: 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данных по строке 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8.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Увеличение стоимости </w:t>
      </w:r>
      <w:r w:rsidR="00EC2B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материальных запасов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» необходимо выделить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увеличение стоимости продуктов питания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 строке 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 этом выплаты, приведенные по строкам 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не могут превышать выплаты по строке 2.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8.</w:t>
      </w:r>
      <w:r w:rsidRPr="00A32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соответствующих граф.</w:t>
      </w:r>
    </w:p>
    <w:p w14:paraId="4DBC0394" w14:textId="04626555" w:rsidR="00A31DB6" w:rsidRPr="000056CC" w:rsidRDefault="00130462" w:rsidP="00ED08D5">
      <w:pPr>
        <w:pStyle w:val="a8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="00D749C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. «Прочие</w:t>
      </w:r>
      <w:r w:rsidR="00342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</w:t>
      </w:r>
      <w:r w:rsidR="0073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товары, </w:t>
      </w:r>
      <w:r w:rsidR="003428A2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="00737651">
        <w:rPr>
          <w:rFonts w:ascii="Times New Roman" w:eastAsia="Times New Roman" w:hAnsi="Times New Roman" w:cs="Times New Roman"/>
          <w:color w:val="000000"/>
          <w:sz w:val="24"/>
          <w:szCs w:val="24"/>
        </w:rPr>
        <w:t>, всего</w:t>
      </w:r>
      <w:r w:rsidR="003428A2">
        <w:rPr>
          <w:rFonts w:ascii="Times New Roman" w:eastAsia="Times New Roman" w:hAnsi="Times New Roman" w:cs="Times New Roman"/>
          <w:color w:val="000000"/>
          <w:sz w:val="24"/>
          <w:szCs w:val="24"/>
        </w:rPr>
        <w:t>» (КВР 24</w:t>
      </w:r>
      <w:r w:rsidR="004707C9">
        <w:rPr>
          <w:rFonts w:ascii="Times New Roman" w:eastAsia="Times New Roman" w:hAnsi="Times New Roman" w:cs="Times New Roman"/>
          <w:color w:val="000000"/>
          <w:sz w:val="24"/>
          <w:szCs w:val="24"/>
        </w:rPr>
        <w:t>1,244,245,</w:t>
      </w:r>
      <w:r w:rsidR="00F269AE">
        <w:rPr>
          <w:rFonts w:ascii="Times New Roman" w:eastAsia="Times New Roman" w:hAnsi="Times New Roman" w:cs="Times New Roman"/>
          <w:color w:val="000000"/>
          <w:sz w:val="24"/>
          <w:szCs w:val="24"/>
        </w:rPr>
        <w:t>346,</w:t>
      </w:r>
      <w:r w:rsidR="004707C9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="00CF324B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40E21863" w14:textId="77777777" w:rsidR="00793780" w:rsidRPr="000056CC" w:rsidRDefault="00CF324B" w:rsidP="00ED08D5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Примечание: при этом по строке 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.5.</w:t>
      </w:r>
      <w:r w:rsidR="00D749C8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. «Прочие работы, </w:t>
      </w:r>
      <w:r w:rsidR="00737651">
        <w:rPr>
          <w:rFonts w:ascii="Times New Roman" w:eastAsia="Times New Roman" w:hAnsi="Times New Roman" w:cs="Times New Roman"/>
          <w:i/>
          <w:sz w:val="24"/>
          <w:szCs w:val="24"/>
        </w:rPr>
        <w:t xml:space="preserve">товары, 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услуги</w:t>
      </w:r>
      <w:r w:rsidR="00737651">
        <w:rPr>
          <w:rFonts w:ascii="Times New Roman" w:eastAsia="Times New Roman" w:hAnsi="Times New Roman" w:cs="Times New Roman"/>
          <w:i/>
          <w:sz w:val="24"/>
          <w:szCs w:val="24"/>
        </w:rPr>
        <w:t>, всего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» указываются все прочие выплаты за исключением конкретизированных в строках 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.5.1.- 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3428A2">
        <w:rPr>
          <w:rFonts w:ascii="Times New Roman" w:eastAsia="Times New Roman" w:hAnsi="Times New Roman" w:cs="Times New Roman"/>
          <w:i/>
          <w:sz w:val="24"/>
          <w:szCs w:val="24"/>
        </w:rPr>
        <w:t>.5.4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. в целях обеспечения сопоставимости общей суммы расходов на закупку по строке 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.5 </w:t>
      </w:r>
      <w:r w:rsidR="00C35EB2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35EB2" w:rsidRPr="00C35EB2">
        <w:rPr>
          <w:rFonts w:ascii="Times New Roman" w:eastAsia="Times New Roman" w:hAnsi="Times New Roman" w:cs="Times New Roman"/>
          <w:i/>
          <w:sz w:val="24"/>
          <w:szCs w:val="24"/>
        </w:rPr>
        <w:t>Расходы на закупку товаров, работ и услуг, всего</w:t>
      </w:r>
      <w:r w:rsidR="00C35EB2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с принципами формирования соответствующей строки в рамках </w:t>
      </w:r>
      <w:r w:rsidR="00B20B5A">
        <w:rPr>
          <w:rFonts w:ascii="Times New Roman" w:eastAsia="Times New Roman" w:hAnsi="Times New Roman" w:cs="Times New Roman"/>
          <w:i/>
          <w:sz w:val="24"/>
          <w:szCs w:val="24"/>
        </w:rPr>
        <w:t>Плана финансово-хозяйственной деятельности</w:t>
      </w:r>
      <w:r w:rsidRPr="000056C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данных по строке 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>.5.</w:t>
      </w:r>
      <w:r w:rsidR="00D749C8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C35EB2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20B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>«Прочие работы,</w:t>
      </w:r>
      <w:r w:rsidR="00737651">
        <w:rPr>
          <w:rFonts w:ascii="Times New Roman" w:eastAsia="Times New Roman" w:hAnsi="Times New Roman" w:cs="Times New Roman"/>
          <w:i/>
          <w:sz w:val="24"/>
          <w:szCs w:val="24"/>
        </w:rPr>
        <w:t xml:space="preserve"> товары, 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>услуги</w:t>
      </w:r>
      <w:r w:rsidR="00737651">
        <w:rPr>
          <w:rFonts w:ascii="Times New Roman" w:eastAsia="Times New Roman" w:hAnsi="Times New Roman" w:cs="Times New Roman"/>
          <w:i/>
          <w:sz w:val="24"/>
          <w:szCs w:val="24"/>
        </w:rPr>
        <w:t>, всего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="00B20B5A" w:rsidRPr="000056CC">
        <w:rPr>
          <w:rFonts w:ascii="Times New Roman" w:eastAsia="Times New Roman" w:hAnsi="Times New Roman" w:cs="Times New Roman"/>
          <w:i/>
          <w:sz w:val="24"/>
          <w:szCs w:val="24"/>
        </w:rPr>
        <w:t>выделяю</w:t>
      </w:r>
      <w:r w:rsidR="00B20B5A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выплаты в виде закупки </w:t>
      </w:r>
      <w:r w:rsidR="000056CC" w:rsidRPr="000056CC">
        <w:rPr>
          <w:rFonts w:ascii="Times New Roman" w:eastAsia="Times New Roman" w:hAnsi="Times New Roman" w:cs="Times New Roman"/>
          <w:i/>
          <w:sz w:val="24"/>
          <w:szCs w:val="24"/>
        </w:rPr>
        <w:t>программного</w:t>
      </w:r>
      <w:r w:rsidR="00737651">
        <w:rPr>
          <w:rFonts w:ascii="Times New Roman" w:eastAsia="Times New Roman" w:hAnsi="Times New Roman" w:cs="Times New Roman"/>
          <w:i/>
          <w:sz w:val="24"/>
          <w:szCs w:val="24"/>
        </w:rPr>
        <w:t xml:space="preserve"> обеспечения, </w:t>
      </w:r>
      <w:r w:rsidR="000056CC" w:rsidRPr="000056CC">
        <w:rPr>
          <w:rFonts w:ascii="Times New Roman" w:eastAsia="Times New Roman" w:hAnsi="Times New Roman" w:cs="Times New Roman"/>
          <w:i/>
          <w:sz w:val="24"/>
          <w:szCs w:val="24"/>
        </w:rPr>
        <w:t>приобретение</w:t>
      </w:r>
      <w:r w:rsidR="00737651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разработка</w:t>
      </w:r>
      <w:r w:rsidR="000056CC"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 образовательных онлайн-</w:t>
      </w:r>
      <w:r w:rsidR="004D330C" w:rsidRPr="000056CC">
        <w:rPr>
          <w:rFonts w:ascii="Times New Roman" w:eastAsia="Times New Roman" w:hAnsi="Times New Roman" w:cs="Times New Roman"/>
          <w:i/>
          <w:sz w:val="24"/>
          <w:szCs w:val="24"/>
        </w:rPr>
        <w:t>курсов,</w:t>
      </w:r>
      <w:r w:rsidR="004D33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37651" w:rsidRPr="00737651">
        <w:rPr>
          <w:rFonts w:ascii="Times New Roman" w:eastAsia="Times New Roman" w:hAnsi="Times New Roman" w:cs="Times New Roman"/>
          <w:i/>
          <w:sz w:val="24"/>
          <w:szCs w:val="24"/>
        </w:rPr>
        <w:t>взносы за доступ и размещение онлайн-курсов на платформах открытого образования</w:t>
      </w:r>
      <w:r w:rsidR="00737651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3428A2">
        <w:rPr>
          <w:rFonts w:ascii="Times New Roman" w:eastAsia="Times New Roman" w:hAnsi="Times New Roman" w:cs="Times New Roman"/>
          <w:i/>
          <w:sz w:val="24"/>
          <w:szCs w:val="24"/>
        </w:rPr>
        <w:t xml:space="preserve">услуги </w:t>
      </w:r>
      <w:proofErr w:type="spellStart"/>
      <w:r w:rsidR="003428A2">
        <w:rPr>
          <w:rFonts w:ascii="Times New Roman" w:eastAsia="Times New Roman" w:hAnsi="Times New Roman" w:cs="Times New Roman"/>
          <w:i/>
          <w:sz w:val="24"/>
          <w:szCs w:val="24"/>
        </w:rPr>
        <w:t>прокторинга</w:t>
      </w:r>
      <w:proofErr w:type="spellEnd"/>
      <w:r w:rsidR="004D330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428A2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приобретение электронных баз данных</w:t>
      </w:r>
      <w:r w:rsidR="004D330C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130462" w:rsidRPr="00130462">
        <w:rPr>
          <w:rFonts w:ascii="Times New Roman" w:eastAsia="Times New Roman" w:hAnsi="Times New Roman" w:cs="Times New Roman"/>
          <w:i/>
          <w:sz w:val="24"/>
          <w:szCs w:val="24"/>
        </w:rPr>
        <w:t xml:space="preserve">иные мероприятия по соблюдению Рекомендаций </w:t>
      </w:r>
      <w:r w:rsidR="00B20B5A" w:rsidRPr="00130462">
        <w:rPr>
          <w:rFonts w:ascii="Times New Roman" w:eastAsia="Times New Roman" w:hAnsi="Times New Roman" w:cs="Times New Roman"/>
          <w:i/>
          <w:sz w:val="24"/>
          <w:szCs w:val="24"/>
        </w:rPr>
        <w:t>Роспотребнадзора</w:t>
      </w:r>
      <w:r w:rsidR="004D33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D330C"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в рамках строк </w:t>
      </w:r>
      <w:r w:rsidR="004D330C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4D330C" w:rsidRPr="000056CC">
        <w:rPr>
          <w:rFonts w:ascii="Times New Roman" w:eastAsia="Times New Roman" w:hAnsi="Times New Roman" w:cs="Times New Roman"/>
          <w:i/>
          <w:sz w:val="24"/>
          <w:szCs w:val="24"/>
        </w:rPr>
        <w:t>.5.</w:t>
      </w:r>
      <w:r w:rsidR="00D749C8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4D330C" w:rsidRPr="000056CC">
        <w:rPr>
          <w:rFonts w:ascii="Times New Roman" w:eastAsia="Times New Roman" w:hAnsi="Times New Roman" w:cs="Times New Roman"/>
          <w:i/>
          <w:sz w:val="24"/>
          <w:szCs w:val="24"/>
        </w:rPr>
        <w:t>.1.—</w:t>
      </w:r>
      <w:r w:rsidR="004D330C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4D330C" w:rsidRPr="000056CC">
        <w:rPr>
          <w:rFonts w:ascii="Times New Roman" w:eastAsia="Times New Roman" w:hAnsi="Times New Roman" w:cs="Times New Roman"/>
          <w:i/>
          <w:sz w:val="24"/>
          <w:szCs w:val="24"/>
        </w:rPr>
        <w:t>.5.</w:t>
      </w:r>
      <w:r w:rsidR="00D749C8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4D330C" w:rsidRPr="000056C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37651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4D330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этом выплаты, приведенные по строкам 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>.5.</w:t>
      </w:r>
      <w:r w:rsidR="00D749C8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>.1.—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>.5.</w:t>
      </w:r>
      <w:r w:rsidR="00D749C8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37651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 xml:space="preserve">. не могут превышать выплаты по строке </w:t>
      </w:r>
      <w:r w:rsidR="00130462"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>.5.</w:t>
      </w:r>
      <w:r w:rsidR="00D749C8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="00C35EB2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793780" w:rsidRPr="000056CC">
        <w:rPr>
          <w:rFonts w:ascii="Times New Roman" w:eastAsia="Times New Roman" w:hAnsi="Times New Roman" w:cs="Times New Roman"/>
          <w:i/>
          <w:sz w:val="24"/>
          <w:szCs w:val="24"/>
        </w:rPr>
        <w:t>соответствующих граф.</w:t>
      </w:r>
    </w:p>
    <w:p w14:paraId="3CCE5CB7" w14:textId="32E66CE7" w:rsidR="00A31DB6" w:rsidRDefault="00CF324B" w:rsidP="00ED0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строке </w:t>
      </w:r>
      <w:r w:rsidR="0013046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«Прочие выплаты, всего» приводятся выплаты, </w:t>
      </w:r>
      <w:r w:rsidR="00BF616E"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предусмотренные к раскрытию в рамках </w:t>
      </w:r>
      <w:r w:rsidRPr="004D330C">
        <w:rPr>
          <w:rFonts w:ascii="Times New Roman" w:eastAsia="Times New Roman" w:hAnsi="Times New Roman" w:cs="Times New Roman"/>
          <w:sz w:val="24"/>
          <w:szCs w:val="24"/>
        </w:rPr>
        <w:t xml:space="preserve">строк </w:t>
      </w:r>
      <w:r w:rsidR="00130462" w:rsidRPr="004D33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D330C">
        <w:rPr>
          <w:rFonts w:ascii="Times New Roman" w:eastAsia="Times New Roman" w:hAnsi="Times New Roman" w:cs="Times New Roman"/>
          <w:sz w:val="24"/>
          <w:szCs w:val="24"/>
        </w:rPr>
        <w:t xml:space="preserve">.1. - </w:t>
      </w:r>
      <w:r w:rsidR="00130462" w:rsidRPr="004D33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D330C">
        <w:rPr>
          <w:rFonts w:ascii="Times New Roman" w:eastAsia="Times New Roman" w:hAnsi="Times New Roman" w:cs="Times New Roman"/>
          <w:sz w:val="24"/>
          <w:szCs w:val="24"/>
        </w:rPr>
        <w:t xml:space="preserve">.5. и </w:t>
      </w:r>
      <w:r w:rsidR="00130462" w:rsidRPr="004D33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D330C">
        <w:rPr>
          <w:rFonts w:ascii="Times New Roman" w:eastAsia="Times New Roman" w:hAnsi="Times New Roman" w:cs="Times New Roman"/>
          <w:sz w:val="24"/>
          <w:szCs w:val="24"/>
        </w:rPr>
        <w:t xml:space="preserve">.7. </w:t>
      </w:r>
      <w:r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AC0F9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ыплаты </w:t>
      </w:r>
      <w:r w:rsidR="004004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0056CC">
        <w:rPr>
          <w:rFonts w:ascii="Times New Roman" w:eastAsia="Times New Roman" w:hAnsi="Times New Roman" w:cs="Times New Roman"/>
          <w:color w:val="000000"/>
          <w:sz w:val="24"/>
          <w:szCs w:val="24"/>
        </w:rPr>
        <w:t>заемным средствам»</w:t>
      </w:r>
      <w:r w:rsidR="00F26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(КВР 830)</w:t>
      </w:r>
      <w:r w:rsidR="004004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C7AEA6" w14:textId="4EBA856F" w:rsidR="003428A2" w:rsidRDefault="00130462" w:rsidP="00ED08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AA9">
        <w:rPr>
          <w:rFonts w:ascii="Times New Roman" w:eastAsia="Times New Roman" w:hAnsi="Times New Roman" w:cs="Times New Roman"/>
          <w:sz w:val="24"/>
          <w:szCs w:val="24"/>
        </w:rPr>
        <w:t>По строке 2.7. «Выплаты по заемным средствам»</w:t>
      </w:r>
      <w:r w:rsidR="004D330C" w:rsidRPr="008B1AA9">
        <w:rPr>
          <w:rFonts w:ascii="Times New Roman" w:eastAsia="Times New Roman" w:hAnsi="Times New Roman" w:cs="Times New Roman"/>
          <w:sz w:val="24"/>
          <w:szCs w:val="24"/>
        </w:rPr>
        <w:t xml:space="preserve"> («Возврат ссуд, кредитов (заимствований)») (</w:t>
      </w:r>
      <w:r w:rsidR="003C159C" w:rsidRPr="008A37A3">
        <w:rPr>
          <w:rFonts w:ascii="Times New Roman" w:eastAsia="Times New Roman" w:hAnsi="Times New Roman" w:cs="Times New Roman"/>
          <w:sz w:val="24"/>
          <w:szCs w:val="24"/>
        </w:rPr>
        <w:t xml:space="preserve">КОСГУ </w:t>
      </w:r>
      <w:r w:rsidR="004D330C" w:rsidRPr="008A37A3">
        <w:rPr>
          <w:rFonts w:ascii="Times New Roman" w:eastAsia="Times New Roman" w:hAnsi="Times New Roman" w:cs="Times New Roman"/>
          <w:sz w:val="24"/>
          <w:szCs w:val="24"/>
        </w:rPr>
        <w:t>8</w:t>
      </w:r>
      <w:r w:rsidR="004D330C" w:rsidRPr="008B1AA9">
        <w:rPr>
          <w:rFonts w:ascii="Times New Roman" w:eastAsia="Times New Roman" w:hAnsi="Times New Roman" w:cs="Times New Roman"/>
          <w:sz w:val="24"/>
          <w:szCs w:val="24"/>
        </w:rPr>
        <w:t>10).</w:t>
      </w:r>
    </w:p>
    <w:p w14:paraId="59858C80" w14:textId="4263E7C9" w:rsidR="003258DA" w:rsidRDefault="0030236D" w:rsidP="003023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При заполнении данных по </w:t>
      </w:r>
      <w:r>
        <w:rPr>
          <w:rFonts w:ascii="Times New Roman" w:eastAsia="Times New Roman" w:hAnsi="Times New Roman" w:cs="Times New Roman"/>
          <w:sz w:val="24"/>
          <w:szCs w:val="24"/>
        </w:rPr>
        <w:t>строке «Отклонения 2020-2019 г»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по графам 10-15 </w:t>
      </w:r>
      <w:r w:rsidRPr="007000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указыва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ется отклонение за </w:t>
      </w:r>
      <w:r w:rsidRPr="007000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год</w:t>
      </w:r>
      <w:r w:rsidR="008C13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C01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8C13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сего</w:t>
      </w:r>
      <w:r w:rsidR="004C01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8C13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том числе от образовательной деятельности</w:t>
      </w:r>
      <w:r w:rsidR="004C01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13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из них от высшего образования. </w:t>
      </w:r>
    </w:p>
    <w:p w14:paraId="14328341" w14:textId="3DC47926" w:rsidR="004C0129" w:rsidRDefault="004C0129" w:rsidP="003023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Графы 10, 12 ,14 «Всего» рассчитываются</w:t>
      </w:r>
      <w:r w:rsidR="00F269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автоматически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как разница между 2020 и </w:t>
      </w:r>
      <w:r w:rsidR="00F269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гг. </w:t>
      </w:r>
    </w:p>
    <w:p w14:paraId="35686DEA" w14:textId="058F5085" w:rsidR="00F269AE" w:rsidRDefault="00F269AE" w:rsidP="00996021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Графы 11, 13, 15 «</w:t>
      </w:r>
      <w:r w:rsidRPr="00F269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том числе в связи с переходом на дистанционное обучение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 заполняются </w:t>
      </w:r>
      <w:r w:rsidR="009960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рганизациями </w:t>
      </w:r>
      <w:r w:rsidR="009960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самостоятельно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</w:t>
      </w:r>
      <w:r w:rsidR="009960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части </w:t>
      </w:r>
      <w:r w:rsidR="008272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отклонений,</w:t>
      </w:r>
      <w:r w:rsidR="0099602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связанных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 переходом на дистанционное обучение.</w:t>
      </w:r>
    </w:p>
    <w:p w14:paraId="16E87156" w14:textId="0197F5FC" w:rsidR="004C0129" w:rsidRDefault="004C0129" w:rsidP="0030236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графе 1</w:t>
      </w:r>
      <w:r w:rsidR="00F269A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заполняются о</w:t>
      </w:r>
      <w:r w:rsidRPr="004C01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боснование отклонений в связи с переходом на дистанционное обучение (указание основных факторов, количественных параметров в связи с переходом на дистанционное обучение)</w:t>
      </w:r>
    </w:p>
    <w:p w14:paraId="0620653B" w14:textId="77777777" w:rsidR="007327FA" w:rsidRDefault="007327FA" w:rsidP="00ED08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D6422DD" w14:textId="77777777" w:rsidR="00E33372" w:rsidRDefault="00E33372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4D66B" w14:textId="46D5FF69" w:rsidR="007D2351" w:rsidRDefault="007D2351" w:rsidP="00ED08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33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Таблица </w:t>
      </w:r>
      <w:r w:rsidR="000B12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8C3395" w:rsidRPr="008C33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ED08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Среднесписочная численность работников и динамика выплат по фонду оплаты труда</w:t>
      </w:r>
      <w:r w:rsidR="008C3395" w:rsidRPr="008C339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38B2776D" w14:textId="77777777" w:rsidR="008C3395" w:rsidRPr="008C3395" w:rsidRDefault="008C3395" w:rsidP="00ED08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19C5F0C" w14:textId="77777777" w:rsidR="007D2351" w:rsidRPr="009C65FE" w:rsidRDefault="007D2351" w:rsidP="00ED08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65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Общие принципы заполнения формы:</w:t>
      </w:r>
    </w:p>
    <w:p w14:paraId="56F73004" w14:textId="77777777" w:rsidR="004725A0" w:rsidRPr="00BF616E" w:rsidRDefault="004725A0" w:rsidP="00ED08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63F9EF6E" w14:textId="17F41B12" w:rsidR="007D2351" w:rsidRDefault="007D2351" w:rsidP="001D3606">
      <w:pPr>
        <w:pStyle w:val="a8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E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Форма заполняется </w:t>
      </w:r>
      <w:r w:rsidR="001E1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целом </w:t>
      </w:r>
      <w:r w:rsidRPr="00BE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учреждению (т.е. головное учреждение</w:t>
      </w:r>
      <w:r w:rsidRPr="00BE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+ обособленные подразделения/филиалы)</w:t>
      </w:r>
      <w:r w:rsidR="00773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учетом внешних совместителей.</w:t>
      </w:r>
    </w:p>
    <w:p w14:paraId="066330F9" w14:textId="77777777" w:rsidR="00724A83" w:rsidRPr="007158E2" w:rsidRDefault="00773501" w:rsidP="001D3606">
      <w:pPr>
        <w:pStyle w:val="a8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Данные </w:t>
      </w:r>
      <w:r w:rsidR="005047B4"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</w:t>
      </w:r>
      <w:r w:rsidR="003F4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</w:t>
      </w:r>
      <w:r w:rsidR="005047B4"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тавляются с точностью до двух знаков после запятой</w:t>
      </w:r>
      <w:r w:rsidR="003F4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денежные показатели приводятся в рублях</w:t>
      </w:r>
      <w:r w:rsidR="005047B4"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65A640D" w14:textId="5D1A39D3" w:rsidR="007158E2" w:rsidRPr="00724A83" w:rsidRDefault="007158E2" w:rsidP="001D3606">
      <w:pPr>
        <w:pStyle w:val="a8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5B02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Данные </w:t>
      </w:r>
      <w:r w:rsidR="008C13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 2020 г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приводятся в соответствии с оперативным и управленческим учетом организации</w:t>
      </w:r>
      <w:r w:rsidR="007E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на последнее число отчетного периода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4BD04E9" w14:textId="77777777" w:rsidR="007D2351" w:rsidRPr="00601BF8" w:rsidRDefault="007D2351" w:rsidP="001D3606">
      <w:pPr>
        <w:pStyle w:val="a8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Данные формы приводятся в </w:t>
      </w:r>
      <w:r w:rsidR="007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целом по </w:t>
      </w:r>
      <w:r w:rsidRPr="00BF61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источник</w:t>
      </w:r>
      <w:r w:rsidR="007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</w:t>
      </w:r>
      <w:r w:rsidR="00601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601BF8" w:rsidRPr="00601BF8">
        <w:rPr>
          <w:rFonts w:ascii="Times New Roman" w:hAnsi="Times New Roman" w:cs="Times New Roman"/>
          <w:sz w:val="24"/>
          <w:szCs w:val="24"/>
        </w:rPr>
        <w:t xml:space="preserve"> </w:t>
      </w:r>
      <w:r w:rsidR="00601BF8" w:rsidRPr="00644A86">
        <w:rPr>
          <w:rFonts w:ascii="Times New Roman" w:hAnsi="Times New Roman" w:cs="Times New Roman"/>
          <w:sz w:val="24"/>
          <w:szCs w:val="24"/>
        </w:rPr>
        <w:t>от приносящ</w:t>
      </w:r>
      <w:r w:rsidR="0060678A">
        <w:rPr>
          <w:rFonts w:ascii="Times New Roman" w:hAnsi="Times New Roman" w:cs="Times New Roman"/>
          <w:sz w:val="24"/>
          <w:szCs w:val="24"/>
        </w:rPr>
        <w:t>ей</w:t>
      </w:r>
      <w:r w:rsidR="00601BF8" w:rsidRPr="00644A86">
        <w:rPr>
          <w:rFonts w:ascii="Times New Roman" w:hAnsi="Times New Roman" w:cs="Times New Roman"/>
          <w:sz w:val="24"/>
          <w:szCs w:val="24"/>
        </w:rPr>
        <w:t xml:space="preserve"> доход деятельность (собственные доходы учреждения), всего </w:t>
      </w:r>
      <w:r w:rsidR="00601BF8" w:rsidRPr="00644A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КФО 2); субсидии на финансовое обеспечение выполнения государственного задания, субсидии на финансовое обеспечение выполнения государственного задания за счет средств бюджета ФФОМС (далее КФО 4); </w:t>
      </w:r>
      <w:r w:rsidR="00601BF8" w:rsidRPr="00644A86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субсидии, предоставляемые в соответствии с абзацем вторым пункта 1 статьи 78.1 Бюджетного кодекса Российской Федерации (далее КФО 5);</w:t>
      </w:r>
      <w:r w:rsidR="00601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1BF8" w:rsidRPr="00232C4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по обязательному медицинскому страхованию</w:t>
      </w:r>
      <w:r w:rsidR="00601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КФО 7).</w:t>
      </w:r>
    </w:p>
    <w:p w14:paraId="127255B5" w14:textId="207B6F00" w:rsidR="007D2351" w:rsidRDefault="007D2351" w:rsidP="00ED08D5">
      <w:pPr>
        <w:pStyle w:val="a8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 численность,</w:t>
      </w:r>
      <w:r w:rsidR="00601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ед.</w:t>
      </w:r>
      <w:r w:rsidR="00601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 учетом внешних совместителей) на конец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74ECC5B" w14:textId="3A5E23A0" w:rsidR="00724A83" w:rsidRDefault="00773501" w:rsidP="00ED08D5">
      <w:pPr>
        <w:pStyle w:val="a8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 с</w:t>
      </w:r>
      <w:r w:rsidR="00724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реднесписочная численность</w:t>
      </w:r>
      <w:r w:rsidR="00601B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(с учетом внешних совместителей)</w:t>
      </w:r>
      <w:r w:rsidR="00724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чел.;</w:t>
      </w:r>
    </w:p>
    <w:p w14:paraId="3502A377" w14:textId="77777777" w:rsidR="00C370F4" w:rsidRDefault="00C370F4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них:</w:t>
      </w:r>
    </w:p>
    <w:p w14:paraId="4145CEFE" w14:textId="51AEEF79" w:rsidR="007D2351" w:rsidRPr="001E10D1" w:rsidRDefault="00773501" w:rsidP="001E10D1">
      <w:pPr>
        <w:pStyle w:val="a8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2"/>
        <w:jc w:val="both"/>
        <w:rPr>
          <w:rFonts w:ascii="Times New Roman" w:hAnsi="Times New Roman" w:cs="Times New Roman"/>
          <w:sz w:val="24"/>
          <w:szCs w:val="24"/>
        </w:rPr>
      </w:pPr>
      <w:r w:rsidRPr="00773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переведены на дистанционную форму работы</w:t>
      </w:r>
      <w:r w:rsidR="001E1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E10D1" w:rsidRPr="00D43B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1E10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10D1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 глава 49.1. и  с Письмом Министерства труда и социальной защиты Российской Федерации от 23 апреля 2020 г. № 14-2/10/П-3710 п. 1.2. предусмотрена возможность применения гибких форм занятости в условиях предупреждения распространения новой </w:t>
      </w:r>
      <w:proofErr w:type="spellStart"/>
      <w:r w:rsidR="001E10D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E10D1">
        <w:rPr>
          <w:rFonts w:ascii="Times New Roman" w:hAnsi="Times New Roman" w:cs="Times New Roman"/>
          <w:sz w:val="24"/>
          <w:szCs w:val="24"/>
        </w:rPr>
        <w:t xml:space="preserve"> инфекции на территории РФ. И заключения трудового договора о дистанционной работе с работниками, которые используют для выполнения своей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информационно-телекоммуникационные сети общего пользования, в том числе сети "Интернет"</w:t>
      </w:r>
      <w:r w:rsidR="001E10D1">
        <w:rPr>
          <w:rFonts w:ascii="Times New Roman" w:hAnsi="Times New Roman" w:cs="Times New Roman"/>
          <w:sz w:val="24"/>
          <w:szCs w:val="24"/>
        </w:rPr>
        <w:t>)</w:t>
      </w:r>
      <w:r w:rsidR="00C370F4" w:rsidRPr="00773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E22BA0B" w14:textId="77777777" w:rsidR="00773501" w:rsidRPr="001E10D1" w:rsidRDefault="00773501" w:rsidP="001E10D1">
      <w:pPr>
        <w:pStyle w:val="a8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1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находящиеся в отпуске без сохранения заработной платы;</w:t>
      </w:r>
    </w:p>
    <w:p w14:paraId="054814B0" w14:textId="58B71CFE" w:rsidR="00773501" w:rsidRPr="001E10D1" w:rsidRDefault="00773501" w:rsidP="001E10D1">
      <w:pPr>
        <w:pStyle w:val="a8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находящиеся в вынужденном в простое</w:t>
      </w:r>
      <w:r w:rsidR="001E10D1" w:rsidRPr="001E1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E10D1" w:rsidRPr="001E10D1">
        <w:rPr>
          <w:rFonts w:ascii="Times New Roman" w:hAnsi="Times New Roman" w:cs="Times New Roman"/>
          <w:sz w:val="24"/>
          <w:szCs w:val="24"/>
        </w:rPr>
        <w:t>В случае невозможности предоставления работникам работы по тем или иным причинам, работодатель имеет право издать приказ об объявлении простоя, с указанием в нем периода, в течение которого будет действовать простой, условия о месте пребывания работников в период простоя (на рабочих местах, либо освободить работников от необходимости присутствовать на рабочих местах), а также условия оплаты простоя.</w:t>
      </w:r>
      <w:r w:rsidR="001E10D1">
        <w:rPr>
          <w:rFonts w:ascii="Times New Roman" w:hAnsi="Times New Roman" w:cs="Times New Roman"/>
          <w:sz w:val="24"/>
          <w:szCs w:val="24"/>
        </w:rPr>
        <w:t xml:space="preserve"> </w:t>
      </w:r>
      <w:r w:rsidR="001E10D1" w:rsidRPr="001E10D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="001E10D1" w:rsidRPr="001E10D1">
          <w:rPr>
            <w:rFonts w:ascii="Times New Roman" w:hAnsi="Times New Roman" w:cs="Times New Roman"/>
            <w:sz w:val="24"/>
            <w:szCs w:val="24"/>
          </w:rPr>
          <w:t>ст. 157</w:t>
        </w:r>
      </w:hyperlink>
      <w:r w:rsidR="001E10D1" w:rsidRPr="001E10D1">
        <w:rPr>
          <w:rFonts w:ascii="Times New Roman" w:hAnsi="Times New Roman" w:cs="Times New Roman"/>
          <w:sz w:val="24"/>
          <w:szCs w:val="24"/>
        </w:rPr>
        <w:t xml:space="preserve"> Трудовому кодексу Российской Федерации время простоя (</w:t>
      </w:r>
      <w:hyperlink r:id="rId9" w:history="1">
        <w:r w:rsidR="001E10D1" w:rsidRPr="001E10D1">
          <w:rPr>
            <w:rFonts w:ascii="Times New Roman" w:hAnsi="Times New Roman" w:cs="Times New Roman"/>
            <w:sz w:val="24"/>
            <w:szCs w:val="24"/>
          </w:rPr>
          <w:t>статья 72.2</w:t>
        </w:r>
      </w:hyperlink>
      <w:r w:rsidR="001E10D1" w:rsidRPr="001E10D1">
        <w:rPr>
          <w:rFonts w:ascii="Times New Roman" w:hAnsi="Times New Roman" w:cs="Times New Roman"/>
          <w:sz w:val="24"/>
          <w:szCs w:val="24"/>
        </w:rPr>
        <w:t xml:space="preserve"> Трудовому кодексу Российской Федерации) по вине работодателя оплачивается в размере не менее двух третей средней заработной платы работника.</w:t>
      </w:r>
      <w:r w:rsidR="001E10D1">
        <w:rPr>
          <w:rFonts w:ascii="Times New Roman" w:hAnsi="Times New Roman" w:cs="Times New Roman"/>
          <w:sz w:val="24"/>
          <w:szCs w:val="24"/>
        </w:rPr>
        <w:t xml:space="preserve"> </w:t>
      </w:r>
      <w:r w:rsidR="001E10D1" w:rsidRPr="001E10D1">
        <w:rPr>
          <w:rFonts w:ascii="Times New Roman" w:hAnsi="Times New Roman" w:cs="Times New Roman"/>
          <w:sz w:val="24"/>
          <w:szCs w:val="24"/>
        </w:rPr>
        <w:t>Время простоя по причинам, не зависящим от работодателя и работника, оплачивается в размере не менее двух третей тарифной ставки, оклада (должностного оклада), рассчитанных пропорционально времени просто</w:t>
      </w:r>
      <w:r w:rsidR="001E10D1" w:rsidRPr="001E10D1">
        <w:rPr>
          <w:rFonts w:ascii="Times New Roman" w:hAnsi="Times New Roman" w:cs="Times New Roman"/>
          <w:sz w:val="24"/>
          <w:szCs w:val="24"/>
        </w:rPr>
        <w:t>я)</w:t>
      </w:r>
      <w:r w:rsidRPr="001E1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BB343BF" w14:textId="77777777" w:rsidR="00C370F4" w:rsidRDefault="00773501" w:rsidP="00ED08D5">
      <w:pPr>
        <w:pStyle w:val="a8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Всего о</w:t>
      </w:r>
      <w:r w:rsidR="00C370F4" w:rsidRPr="00C370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бщий фонд начисленной заработной платы за период, руб</w:t>
      </w:r>
      <w:r w:rsidR="00C370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</w:t>
      </w:r>
    </w:p>
    <w:p w14:paraId="773AAC7B" w14:textId="77777777" w:rsidR="00C370F4" w:rsidRDefault="00C370F4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134" w:firstLine="3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том числе: </w:t>
      </w:r>
    </w:p>
    <w:p w14:paraId="20F7F06F" w14:textId="77777777" w:rsidR="00C370F4" w:rsidRDefault="00C370F4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 должностному окладу;</w:t>
      </w:r>
    </w:p>
    <w:p w14:paraId="62CF8EA4" w14:textId="77777777" w:rsidR="00C370F4" w:rsidRDefault="00C370F4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по выплатам: компенсационного характера, материальная помощь, стимулирующего характера;</w:t>
      </w:r>
    </w:p>
    <w:p w14:paraId="4FA00BE2" w14:textId="77777777" w:rsidR="00330F90" w:rsidRPr="00BA4687" w:rsidRDefault="00C370F4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иные выплаты по ФОТ.</w:t>
      </w:r>
    </w:p>
    <w:p w14:paraId="49F4C2EE" w14:textId="77777777" w:rsidR="00330F90" w:rsidRPr="00773501" w:rsidRDefault="00330F90" w:rsidP="001D3606">
      <w:pPr>
        <w:pStyle w:val="a8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73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Таблица предполагает отражение </w:t>
      </w:r>
      <w:r w:rsidR="005B027C" w:rsidRPr="00773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данных</w:t>
      </w:r>
      <w:r w:rsidRPr="00773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773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3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отчетные даты по отчетным периодам.</w:t>
      </w:r>
    </w:p>
    <w:p w14:paraId="4DE6F888" w14:textId="77777777" w:rsidR="00330F90" w:rsidRDefault="00330F90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27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Принципы заполнения данных:</w:t>
      </w:r>
    </w:p>
    <w:p w14:paraId="30D94B9B" w14:textId="77777777" w:rsidR="009C65FE" w:rsidRDefault="009C65FE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B3636C1" w14:textId="77777777" w:rsidR="00BD34CB" w:rsidRDefault="00BD34CB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Таблица заполняется по следующим категориям работников:</w:t>
      </w:r>
    </w:p>
    <w:p w14:paraId="09DF3B7F" w14:textId="77777777" w:rsidR="00BD34CB" w:rsidRDefault="00BD34CB" w:rsidP="00ED08D5">
      <w:pPr>
        <w:pStyle w:val="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Руководитель учреждения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53FA1F26" w14:textId="77777777" w:rsidR="00BD34CB" w:rsidRPr="005A0698" w:rsidRDefault="00A24547" w:rsidP="00ED08D5">
      <w:pPr>
        <w:pStyle w:val="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2454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Заместители руководителя, руководители структурных подразделений и их заместители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D34CB" w:rsidRPr="00A24547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- </w:t>
      </w:r>
      <w:r w:rsidR="004B3840" w:rsidRPr="005A0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BD34CB" w:rsidRPr="005A06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стальные руководители структурных подразделений: заместители руководителя, руководители структурных подразделений и их заместители;</w:t>
      </w:r>
    </w:p>
    <w:p w14:paraId="3D89CE7F" w14:textId="77777777" w:rsidR="00BD34CB" w:rsidRDefault="00BD34CB" w:rsidP="00ED08D5">
      <w:pPr>
        <w:pStyle w:val="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Педагогические работники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4B3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едагогические работники образовательных организаций, реализующие программы дошкольного образования; педагогические работники 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заведующие учебной частью образовательных организаций, реализующие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программы общего образования; педагогические работники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образовательных организаций, реализующие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программы дополнительного образования детей; педагогические работники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образовательных организаций среднего профессионального образования, реализующие образовательные программы подготовки квалифицированных рабочих и служащих; педагогические работники образовательных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организаций среднего профессионального образования, реализующие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образовательные программы подготовки специалистов среднего звена; педагогические работники образовательных организаций, реализующие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программы дополнительного профессионального образования, осуществляющие подготовку (повышение квалификации)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специалистов, имеющих среднее профессиональное образование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6AC3A1DF" w14:textId="77777777" w:rsidR="00BD34CB" w:rsidRDefault="00BD34CB" w:rsidP="00ED08D5">
      <w:pPr>
        <w:pStyle w:val="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Профессорско-преподавательский состав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4B3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рофессорско-преподавательский состав образовательных организаций, реализующий программы высшего образования; профессорско-преподавательский состав образовательных организаций, реализующий программы дополнительного профессионального образования, осуществляющий подготовку (повышение квалификации) специалистов, имеющих высшее образование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6E25C9A4" w14:textId="77777777" w:rsidR="00BD34CB" w:rsidRDefault="00BD34CB" w:rsidP="00ED08D5">
      <w:pPr>
        <w:pStyle w:val="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Научные работники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4B3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аучные работники организаций, реализующие программы высшего образования; научные работники организаций дополнительного профессионального образования</w:t>
      </w:r>
      <w:r w:rsidR="004B3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14:paraId="3AB58C6B" w14:textId="77777777" w:rsidR="004B3840" w:rsidRPr="00ED08D5" w:rsidRDefault="004B3840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08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 них:</w:t>
      </w:r>
    </w:p>
    <w:p w14:paraId="61D8B7D1" w14:textId="77777777" w:rsidR="004B3840" w:rsidRPr="00ED08D5" w:rsidRDefault="004B3840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Научные сотрудники </w:t>
      </w:r>
      <w:r w:rsidRPr="00ED08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CF3CEF" w:rsidRP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главные научные сотрудники, ведущие научные сотрудники, старшие научные сотрудники, научные сотрудники, младшие научные сотрудники.</w:t>
      </w:r>
    </w:p>
    <w:p w14:paraId="5210A9B0" w14:textId="77777777" w:rsidR="00BD34CB" w:rsidRDefault="00BD34CB" w:rsidP="00ED08D5">
      <w:pPr>
        <w:pStyle w:val="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Врачи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4B3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рачи (кроме зубных)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644A99D4" w14:textId="77777777" w:rsidR="00BD34CB" w:rsidRDefault="00BD34CB" w:rsidP="00ED08D5">
      <w:pPr>
        <w:pStyle w:val="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Средний медицинский персонал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="004B3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редний медицинский (фармацевтический) персонал (персонал, обеспечивающий условия для предоставления медицинских услуг)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1CFC5281" w14:textId="77777777" w:rsidR="004B3840" w:rsidRPr="00CF3CEF" w:rsidRDefault="004B3840" w:rsidP="00ED08D5">
      <w:pPr>
        <w:pStyle w:val="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Младший медицинский персонал – </w:t>
      </w:r>
      <w:r w:rsidR="00CF3CEF" w:rsidRP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</w:t>
      </w:r>
      <w:r w:rsidR="00CF3CEF" w:rsidRPr="00CF3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ладшая</w:t>
      </w:r>
      <w:r w:rsidR="00CF3CEF" w:rsidRP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F3CEF" w:rsidRPr="00CF3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медицинская</w:t>
      </w:r>
      <w:r w:rsidR="00CF3CEF" w:rsidRP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сестра по уходу за больными; </w:t>
      </w:r>
      <w:r w:rsid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CF3CEF" w:rsidRP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анитар; </w:t>
      </w:r>
      <w:r w:rsid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CF3CEF" w:rsidRP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анитар-водитель; </w:t>
      </w:r>
      <w:r w:rsid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</w:t>
      </w:r>
      <w:r w:rsidR="00CF3CEF" w:rsidRP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естра-хозяйка.</w:t>
      </w:r>
    </w:p>
    <w:p w14:paraId="16F5D557" w14:textId="77777777" w:rsidR="004B3840" w:rsidRPr="00CF3CEF" w:rsidRDefault="004B3840" w:rsidP="00ED08D5">
      <w:pPr>
        <w:pStyle w:val="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3CEF">
        <w:rPr>
          <w:rFonts w:ascii="Times New Roman" w:eastAsia="Times New Roman" w:hAnsi="Times New Roman" w:cs="Times New Roman"/>
          <w:bCs/>
          <w:sz w:val="24"/>
          <w:szCs w:val="24"/>
        </w:rPr>
        <w:t>Работники культуры –</w:t>
      </w:r>
      <w:r w:rsidR="00CF3CEF" w:rsidRPr="00CF3CE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отражается информация о работниках, деятельность которых относится к сфере культуры, работающих в образовательных организациях. По данной строке отражаются сведения о библиотечных работниках, художественных руководителях.</w:t>
      </w:r>
    </w:p>
    <w:p w14:paraId="7006201A" w14:textId="77777777" w:rsidR="004B3840" w:rsidRPr="00CF3CEF" w:rsidRDefault="004B3840" w:rsidP="00ED08D5">
      <w:pPr>
        <w:pStyle w:val="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Социальные работники –</w:t>
      </w:r>
      <w:r w:rsidR="00CF3CEF" w:rsidRPr="00CF3C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отражаются социальные работники, занимающие по штатному расписанию должность "социальный работник".</w:t>
      </w:r>
    </w:p>
    <w:p w14:paraId="360A79CF" w14:textId="77777777" w:rsidR="004B3840" w:rsidRPr="000D0693" w:rsidRDefault="004B3840" w:rsidP="00ED08D5">
      <w:pPr>
        <w:pStyle w:val="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0693">
        <w:rPr>
          <w:rFonts w:ascii="Times New Roman" w:eastAsia="Times New Roman" w:hAnsi="Times New Roman" w:cs="Times New Roman"/>
          <w:bCs/>
          <w:sz w:val="24"/>
          <w:szCs w:val="24"/>
        </w:rPr>
        <w:t>Техники -</w:t>
      </w:r>
      <w:r w:rsidR="000D0693" w:rsidRPr="000D069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работники, которые участвуют в научных исследованиях и разработках, выполняя технические функции, как правило, под руководством исследователей (эксплуатацию и обслуживание научных приборов, лабораторного оборудования, вычислительной техники, подготовку материалов, чертежей, проведение </w:t>
      </w:r>
      <w:r w:rsidR="000D0693" w:rsidRPr="000D069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экспериментов, опытов и анализов и другие). Для выполнения указанных функций требуется среднее профессиональное образование и (или) необходимый профессиональный опыт и знания. Сюда же относятся инженеры, конструкторы и экономисты, выполняющие технические функции при осуществлении научных исследований и разработок.</w:t>
      </w:r>
    </w:p>
    <w:p w14:paraId="4AEFD77C" w14:textId="77777777" w:rsidR="00BD34CB" w:rsidRDefault="004B3840" w:rsidP="00ED08D5">
      <w:pPr>
        <w:pStyle w:val="a8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Вспомогательный/Прочий персонал </w:t>
      </w:r>
      <w:r w:rsid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BD34CB"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дминистративно управленческий персонал за исключением руководителей структурных подразделений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р</w:t>
      </w:r>
      <w:r w:rsidRPr="00BD34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аботники организации, выполняющие функции по обслуживанию хозяйственной деятельности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6E2A8F5A" w14:textId="77777777" w:rsidR="004B3840" w:rsidRPr="00ED08D5" w:rsidRDefault="004B3840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D08D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из них:</w:t>
      </w:r>
    </w:p>
    <w:p w14:paraId="71CA71B1" w14:textId="77777777" w:rsidR="00BD34CB" w:rsidRPr="007E7FFC" w:rsidRDefault="00BD34CB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E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Учебно-вспомогательный персонал</w:t>
      </w:r>
      <w:r w:rsidR="007E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(УВП)</w:t>
      </w:r>
      <w:r w:rsidRPr="007E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7E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7E7FFC" w:rsidRPr="007E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это</w:t>
      </w:r>
      <w:proofErr w:type="gramEnd"/>
      <w:r w:rsidR="007E7FFC" w:rsidRPr="007E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категория персонала, не связанная непосредственно с учебным процессом. </w:t>
      </w:r>
      <w:r w:rsidR="007E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7E7FFC" w:rsidRPr="007E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E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УВП</w:t>
      </w:r>
      <w:r w:rsidR="007E7FFC" w:rsidRPr="007E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относятся диспетчер факультета, тьютор, специалист по учебно-методической работе, учебный мастер, инспектора кадров в деканатах, метод</w:t>
      </w:r>
      <w:r w:rsidR="007E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исты, секретари, менеджеры и т.</w:t>
      </w:r>
      <w:r w:rsidR="007E7FFC" w:rsidRPr="007E7F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д., обеспечивающие «техническую жизнедеятельность» структурного подразделения. </w:t>
      </w:r>
    </w:p>
    <w:p w14:paraId="7E789932" w14:textId="77777777" w:rsidR="004B3840" w:rsidRPr="004B3840" w:rsidRDefault="004B3840" w:rsidP="00ED08D5">
      <w:p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F2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Инженерно-технический персонал</w:t>
      </w:r>
      <w:r w:rsidR="00CF3CEF" w:rsidRPr="00AF2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(ИТР)</w:t>
      </w:r>
      <w:r w:rsidRPr="00AF2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D06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AF2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F3CEF" w:rsidRPr="00AF2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это работник, имеющий высшее или среднее </w:t>
      </w:r>
      <w:r w:rsidR="00CF3CEF" w:rsidRPr="00AF2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инженерно</w:t>
      </w:r>
      <w:r w:rsidR="00CF3CEF" w:rsidRPr="00AF2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="00CF3CEF" w:rsidRPr="00AF2B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техническое</w:t>
      </w:r>
      <w:r w:rsidR="00CF3CEF" w:rsidRPr="00AF2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образование, и осуществляющий организацию или руководство производственными процессами на предприятии</w:t>
      </w:r>
      <w:r w:rsidR="00AF2B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860D553" w14:textId="77777777" w:rsidR="001E10D1" w:rsidRDefault="00044B2D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 заполнении данных по с</w:t>
      </w:r>
      <w:r w:rsidRPr="00044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реднесписочн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ой</w:t>
      </w:r>
      <w:r w:rsidRPr="00044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численност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(</w:t>
      </w:r>
      <w:r w:rsidRPr="00044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 учетом внешних совместителей)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 графам 4,5,6 </w:t>
      </w:r>
      <w:r w:rsidRPr="007000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указываются среднемесячные значения за год.</w:t>
      </w:r>
      <w:r w:rsidRPr="00044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Для того, чтобы определить среднемесячные значения за год, необходимо установить, сколько работников находилось на дистанционной форме работы (или в отпуске без сохранения заработной платы, или в вынужденном в простое) по состоянию на первое число каждого месяца отчетного года, а потом суммировать полученные значения и разделить на 12 месяцев. </w:t>
      </w:r>
    </w:p>
    <w:p w14:paraId="739A03C7" w14:textId="03E0210E" w:rsidR="00044B2D" w:rsidRPr="00B816E8" w:rsidRDefault="00044B2D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044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Пример расчета среднемесячного количества работников, находящихся в отпуске без сохранения заработной платы, за 2020 год: 1 янв. 2020 - 0 работников, 1 фев. 2020 - 0 работников, 1 марта 2020 - 3 работника, 1 апр. 2020 - 5 работников, 1 мая 2020 - 4 работника, с 1 июня по 1 декабря 2020 - 0 работников. Расчет: (0+0+3+5+4+0+0+0+0+0+0+</w:t>
      </w:r>
      <w:proofErr w:type="gramStart"/>
      <w:r w:rsidRPr="00044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0)÷</w:t>
      </w:r>
      <w:proofErr w:type="gramEnd"/>
      <w:r w:rsidRPr="00044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12=1 работник (полученные расчетные значения округляются до 2-х знаков после запятой)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68FE9CB" w14:textId="77777777" w:rsidR="005B027C" w:rsidRDefault="005B027C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="004B3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Строка 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Итого</w:t>
      </w:r>
      <w:r w:rsidR="004B3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 составляет сумму строк 1 - 12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 период заполнения</w:t>
      </w:r>
      <w:r w:rsidR="005047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а именно </w:t>
      </w:r>
      <w:r w:rsidR="004B3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2019 год и 2020 год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0A08FE5F" w14:textId="77777777" w:rsidR="00EF024F" w:rsidRDefault="00EF024F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024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Строка 5.1.</w:t>
      </w:r>
      <w:r w:rsidR="00044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«Научные сотрудники»</w:t>
      </w:r>
      <w:r w:rsidRPr="00EF0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участвует в сумме </w:t>
      </w:r>
      <w:r w:rsidR="00044B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строки «И</w:t>
      </w:r>
      <w:r w:rsidRPr="00EF024F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="00044B2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F024F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входит в строку 5 «Научные работники».</w:t>
      </w:r>
    </w:p>
    <w:p w14:paraId="16132C1A" w14:textId="77777777" w:rsidR="004B3840" w:rsidRPr="00EF024F" w:rsidRDefault="004B3840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Строки 12.1. «</w:t>
      </w:r>
      <w:r w:rsidRPr="004B3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Учебно-вспомогательный персонал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 и 12.2. «</w:t>
      </w:r>
      <w:r w:rsidR="00044B2D" w:rsidRPr="004B38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Инженерно-технический персонал</w:t>
      </w:r>
      <w:r w:rsidR="00044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="00044B2D" w:rsidRPr="00EF0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участвует в сумме </w:t>
      </w:r>
      <w:r w:rsidR="00044B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строки «И</w:t>
      </w:r>
      <w:r w:rsidR="00044B2D" w:rsidRPr="00EF024F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="00044B2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44B2D" w:rsidRPr="00EF024F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входит в строку</w:t>
      </w:r>
      <w:r w:rsidR="00044B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«Вспомогательный/Прочий персонал».</w:t>
      </w:r>
    </w:p>
    <w:p w14:paraId="788F8DA6" w14:textId="1B1530AE" w:rsidR="00044B2D" w:rsidRDefault="005B027C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5B02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анные</w:t>
      </w:r>
      <w:r w:rsidR="00B816E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Pr="005B027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Общий фонд начисленной заработной платы за период, руб.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 </w:t>
      </w:r>
      <w:r w:rsidR="00044B2D" w:rsidRPr="00044B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указываются за отчетный период. Не включаются расходы в фонд заработной платы, в том числе: пособия и другие выплаты за счет средств государственных внебюджетных фондов, в частности, пособия по временной нетрудоспособности, по беременности и родам, при рождении ребенка, по уходу за ребенком, оплата санаторно-курортного лечения и оздоровления работников, их семей, страховые выплаты по обязательному социальному страхованию от несчастных случаев на производстве и профессиональных заболеваний; суммы пособий по временной нетрудоспособности, выплачиваемые за счет средств организации в соответствии с законодательством Российской Федерации, в том числе за первые три дня временной нетрудоспособности.</w:t>
      </w:r>
    </w:p>
    <w:p w14:paraId="16F932F1" w14:textId="71241613" w:rsidR="00392D56" w:rsidRDefault="00392D56" w:rsidP="00ED08D5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53BACB2C" w14:textId="09A4411F" w:rsidR="00392D56" w:rsidRPr="001E10D1" w:rsidRDefault="00392D56" w:rsidP="001E10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392D56" w:rsidRPr="001E10D1" w:rsidSect="008B1AA9">
      <w:footerReference w:type="default" r:id="rId10"/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96B49" w14:textId="77777777" w:rsidR="00487575" w:rsidRDefault="00487575">
      <w:pPr>
        <w:spacing w:after="0" w:line="240" w:lineRule="auto"/>
      </w:pPr>
      <w:r>
        <w:separator/>
      </w:r>
    </w:p>
  </w:endnote>
  <w:endnote w:type="continuationSeparator" w:id="0">
    <w:p w14:paraId="79A39129" w14:textId="77777777" w:rsidR="00487575" w:rsidRDefault="0048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9CF73" w14:textId="77777777" w:rsidR="00A31DB6" w:rsidRDefault="0019162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CF324B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7327FA">
      <w:rPr>
        <w:rFonts w:ascii="Times New Roman" w:eastAsia="Times New Roman" w:hAnsi="Times New Roman" w:cs="Times New Roman"/>
        <w:noProof/>
        <w:color w:val="000000"/>
      </w:rPr>
      <w:t>8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9983DC0" w14:textId="77777777" w:rsidR="00A31DB6" w:rsidRDefault="00A31DB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F3928" w14:textId="77777777" w:rsidR="00487575" w:rsidRDefault="00487575">
      <w:pPr>
        <w:spacing w:after="0" w:line="240" w:lineRule="auto"/>
      </w:pPr>
      <w:r>
        <w:separator/>
      </w:r>
    </w:p>
  </w:footnote>
  <w:footnote w:type="continuationSeparator" w:id="0">
    <w:p w14:paraId="46A1A140" w14:textId="77777777" w:rsidR="00487575" w:rsidRDefault="0048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CE5"/>
    <w:multiLevelType w:val="multilevel"/>
    <w:tmpl w:val="AE0A396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04BA9"/>
    <w:multiLevelType w:val="multilevel"/>
    <w:tmpl w:val="F7DE9236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7"/>
      <w:numFmt w:val="decimal"/>
      <w:isLgl/>
      <w:lvlText w:val="%1.%2."/>
      <w:lvlJc w:val="left"/>
      <w:pPr>
        <w:ind w:left="1129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" w15:restartNumberingAfterBreak="0">
    <w:nsid w:val="14095152"/>
    <w:multiLevelType w:val="hybridMultilevel"/>
    <w:tmpl w:val="E3AE3774"/>
    <w:lvl w:ilvl="0" w:tplc="E864FB7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1171FE"/>
    <w:multiLevelType w:val="hybridMultilevel"/>
    <w:tmpl w:val="B948AC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5A74A3"/>
    <w:multiLevelType w:val="hybridMultilevel"/>
    <w:tmpl w:val="E328F4AE"/>
    <w:lvl w:ilvl="0" w:tplc="E864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3B1"/>
    <w:multiLevelType w:val="multilevel"/>
    <w:tmpl w:val="88D861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7"/>
      <w:numFmt w:val="decimal"/>
      <w:isLgl/>
      <w:lvlText w:val="%1.%2."/>
      <w:lvlJc w:val="left"/>
      <w:pPr>
        <w:ind w:left="1129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6" w15:restartNumberingAfterBreak="0">
    <w:nsid w:val="17C7669C"/>
    <w:multiLevelType w:val="multilevel"/>
    <w:tmpl w:val="4FA62C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84763"/>
    <w:multiLevelType w:val="hybridMultilevel"/>
    <w:tmpl w:val="D3F278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5946524"/>
    <w:multiLevelType w:val="hybridMultilevel"/>
    <w:tmpl w:val="EB2C9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095651"/>
    <w:multiLevelType w:val="hybridMultilevel"/>
    <w:tmpl w:val="69FC545A"/>
    <w:lvl w:ilvl="0" w:tplc="E864FB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70C214A"/>
    <w:multiLevelType w:val="hybridMultilevel"/>
    <w:tmpl w:val="99305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725A6E"/>
    <w:multiLevelType w:val="hybridMultilevel"/>
    <w:tmpl w:val="05E4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7085B"/>
    <w:multiLevelType w:val="multilevel"/>
    <w:tmpl w:val="7E8EADD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060095"/>
    <w:multiLevelType w:val="hybridMultilevel"/>
    <w:tmpl w:val="2326BDE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201539"/>
    <w:multiLevelType w:val="hybridMultilevel"/>
    <w:tmpl w:val="BD20EB66"/>
    <w:lvl w:ilvl="0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3E063E00"/>
    <w:multiLevelType w:val="hybridMultilevel"/>
    <w:tmpl w:val="6E529778"/>
    <w:lvl w:ilvl="0" w:tplc="E864FB7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0844C2D"/>
    <w:multiLevelType w:val="hybridMultilevel"/>
    <w:tmpl w:val="9460C708"/>
    <w:lvl w:ilvl="0" w:tplc="E864F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80242B"/>
    <w:multiLevelType w:val="hybridMultilevel"/>
    <w:tmpl w:val="5FBC31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A7490E"/>
    <w:multiLevelType w:val="hybridMultilevel"/>
    <w:tmpl w:val="AD3C5D14"/>
    <w:lvl w:ilvl="0" w:tplc="E864FB7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3A06F2"/>
    <w:multiLevelType w:val="multilevel"/>
    <w:tmpl w:val="82985F6E"/>
    <w:lvl w:ilvl="0">
      <w:start w:val="5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7"/>
      <w:numFmt w:val="decimal"/>
      <w:isLgl/>
      <w:lvlText w:val="%1.%2."/>
      <w:lvlJc w:val="left"/>
      <w:pPr>
        <w:ind w:left="1129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0" w15:restartNumberingAfterBreak="0">
    <w:nsid w:val="4B9A0F50"/>
    <w:multiLevelType w:val="hybridMultilevel"/>
    <w:tmpl w:val="360611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CC10DA"/>
    <w:multiLevelType w:val="multilevel"/>
    <w:tmpl w:val="87FC5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D626F8E"/>
    <w:multiLevelType w:val="hybridMultilevel"/>
    <w:tmpl w:val="F5F2CA2E"/>
    <w:lvl w:ilvl="0" w:tplc="E864F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967354"/>
    <w:multiLevelType w:val="hybridMultilevel"/>
    <w:tmpl w:val="3A94957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AD7056"/>
    <w:multiLevelType w:val="multilevel"/>
    <w:tmpl w:val="C18814B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5" w15:restartNumberingAfterBreak="0">
    <w:nsid w:val="5C224404"/>
    <w:multiLevelType w:val="hybridMultilevel"/>
    <w:tmpl w:val="43706B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C16D3A"/>
    <w:multiLevelType w:val="multilevel"/>
    <w:tmpl w:val="4FA62C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5328B"/>
    <w:multiLevelType w:val="hybridMultilevel"/>
    <w:tmpl w:val="FD788BFC"/>
    <w:lvl w:ilvl="0" w:tplc="595C8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15E1120"/>
    <w:multiLevelType w:val="multilevel"/>
    <w:tmpl w:val="75A6F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32594"/>
    <w:multiLevelType w:val="hybridMultilevel"/>
    <w:tmpl w:val="A5149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723D5B"/>
    <w:multiLevelType w:val="hybridMultilevel"/>
    <w:tmpl w:val="C15ED052"/>
    <w:lvl w:ilvl="0" w:tplc="E864F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A91FF6"/>
    <w:multiLevelType w:val="hybridMultilevel"/>
    <w:tmpl w:val="7E923A5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7B6F63"/>
    <w:multiLevelType w:val="hybridMultilevel"/>
    <w:tmpl w:val="1C1EF00A"/>
    <w:lvl w:ilvl="0" w:tplc="E864F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C74A94"/>
    <w:multiLevelType w:val="multilevel"/>
    <w:tmpl w:val="A830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E6F2B"/>
    <w:multiLevelType w:val="hybridMultilevel"/>
    <w:tmpl w:val="403A85B8"/>
    <w:lvl w:ilvl="0" w:tplc="E864FB7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4F1189B"/>
    <w:multiLevelType w:val="hybridMultilevel"/>
    <w:tmpl w:val="6CC435AC"/>
    <w:lvl w:ilvl="0" w:tplc="E864FB7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EF077F"/>
    <w:multiLevelType w:val="hybridMultilevel"/>
    <w:tmpl w:val="721AE88C"/>
    <w:lvl w:ilvl="0" w:tplc="E864FB7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B675F6B"/>
    <w:multiLevelType w:val="hybridMultilevel"/>
    <w:tmpl w:val="B428E6A6"/>
    <w:lvl w:ilvl="0" w:tplc="E864FB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0A76C8"/>
    <w:multiLevelType w:val="multilevel"/>
    <w:tmpl w:val="F7DE9236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7"/>
      <w:numFmt w:val="decimal"/>
      <w:isLgl/>
      <w:lvlText w:val="%1.%2."/>
      <w:lvlJc w:val="left"/>
      <w:pPr>
        <w:ind w:left="1129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9" w15:restartNumberingAfterBreak="0">
    <w:nsid w:val="7FB46350"/>
    <w:multiLevelType w:val="hybridMultilevel"/>
    <w:tmpl w:val="32A09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33"/>
  </w:num>
  <w:num w:numId="4">
    <w:abstractNumId w:val="28"/>
  </w:num>
  <w:num w:numId="5">
    <w:abstractNumId w:val="0"/>
  </w:num>
  <w:num w:numId="6">
    <w:abstractNumId w:val="38"/>
  </w:num>
  <w:num w:numId="7">
    <w:abstractNumId w:val="31"/>
  </w:num>
  <w:num w:numId="8">
    <w:abstractNumId w:val="20"/>
  </w:num>
  <w:num w:numId="9">
    <w:abstractNumId w:val="25"/>
  </w:num>
  <w:num w:numId="10">
    <w:abstractNumId w:val="10"/>
  </w:num>
  <w:num w:numId="11">
    <w:abstractNumId w:val="11"/>
  </w:num>
  <w:num w:numId="12">
    <w:abstractNumId w:val="32"/>
  </w:num>
  <w:num w:numId="13">
    <w:abstractNumId w:val="3"/>
  </w:num>
  <w:num w:numId="14">
    <w:abstractNumId w:val="29"/>
  </w:num>
  <w:num w:numId="15">
    <w:abstractNumId w:val="17"/>
  </w:num>
  <w:num w:numId="16">
    <w:abstractNumId w:val="16"/>
  </w:num>
  <w:num w:numId="17">
    <w:abstractNumId w:val="8"/>
  </w:num>
  <w:num w:numId="18">
    <w:abstractNumId w:val="27"/>
  </w:num>
  <w:num w:numId="19">
    <w:abstractNumId w:val="1"/>
  </w:num>
  <w:num w:numId="20">
    <w:abstractNumId w:val="14"/>
  </w:num>
  <w:num w:numId="21">
    <w:abstractNumId w:val="23"/>
  </w:num>
  <w:num w:numId="22">
    <w:abstractNumId w:val="19"/>
  </w:num>
  <w:num w:numId="23">
    <w:abstractNumId w:val="13"/>
  </w:num>
  <w:num w:numId="24">
    <w:abstractNumId w:val="7"/>
  </w:num>
  <w:num w:numId="25">
    <w:abstractNumId w:val="39"/>
  </w:num>
  <w:num w:numId="26">
    <w:abstractNumId w:val="21"/>
  </w:num>
  <w:num w:numId="27">
    <w:abstractNumId w:val="6"/>
  </w:num>
  <w:num w:numId="28">
    <w:abstractNumId w:val="34"/>
  </w:num>
  <w:num w:numId="29">
    <w:abstractNumId w:val="35"/>
  </w:num>
  <w:num w:numId="30">
    <w:abstractNumId w:val="9"/>
  </w:num>
  <w:num w:numId="31">
    <w:abstractNumId w:val="37"/>
  </w:num>
  <w:num w:numId="32">
    <w:abstractNumId w:val="24"/>
  </w:num>
  <w:num w:numId="33">
    <w:abstractNumId w:val="15"/>
  </w:num>
  <w:num w:numId="34">
    <w:abstractNumId w:val="22"/>
  </w:num>
  <w:num w:numId="35">
    <w:abstractNumId w:val="2"/>
  </w:num>
  <w:num w:numId="36">
    <w:abstractNumId w:val="36"/>
  </w:num>
  <w:num w:numId="37">
    <w:abstractNumId w:val="18"/>
  </w:num>
  <w:num w:numId="38">
    <w:abstractNumId w:val="4"/>
  </w:num>
  <w:num w:numId="39">
    <w:abstractNumId w:val="5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B6"/>
    <w:rsid w:val="00001BE1"/>
    <w:rsid w:val="000056CC"/>
    <w:rsid w:val="00021D60"/>
    <w:rsid w:val="00044B2D"/>
    <w:rsid w:val="00050EB1"/>
    <w:rsid w:val="00056BE1"/>
    <w:rsid w:val="000A7C21"/>
    <w:rsid w:val="000B12CB"/>
    <w:rsid w:val="000D0693"/>
    <w:rsid w:val="000E75D5"/>
    <w:rsid w:val="00104825"/>
    <w:rsid w:val="00111D8A"/>
    <w:rsid w:val="00111E0E"/>
    <w:rsid w:val="00130462"/>
    <w:rsid w:val="00172555"/>
    <w:rsid w:val="001778B5"/>
    <w:rsid w:val="00186975"/>
    <w:rsid w:val="00191628"/>
    <w:rsid w:val="001C78BE"/>
    <w:rsid w:val="001D3606"/>
    <w:rsid w:val="001D7AB8"/>
    <w:rsid w:val="001E10D1"/>
    <w:rsid w:val="0022619B"/>
    <w:rsid w:val="00232C48"/>
    <w:rsid w:val="00262E4A"/>
    <w:rsid w:val="0029343E"/>
    <w:rsid w:val="002B5931"/>
    <w:rsid w:val="002B6121"/>
    <w:rsid w:val="002C696E"/>
    <w:rsid w:val="002D57B1"/>
    <w:rsid w:val="002E2498"/>
    <w:rsid w:val="00301CD0"/>
    <w:rsid w:val="0030236D"/>
    <w:rsid w:val="003258DA"/>
    <w:rsid w:val="00330F90"/>
    <w:rsid w:val="00337AFB"/>
    <w:rsid w:val="003428A2"/>
    <w:rsid w:val="00346315"/>
    <w:rsid w:val="00354580"/>
    <w:rsid w:val="003727B6"/>
    <w:rsid w:val="0037604E"/>
    <w:rsid w:val="00377B86"/>
    <w:rsid w:val="00392D56"/>
    <w:rsid w:val="003A2EC2"/>
    <w:rsid w:val="003B4C02"/>
    <w:rsid w:val="003C159C"/>
    <w:rsid w:val="003E18AC"/>
    <w:rsid w:val="003F4C9A"/>
    <w:rsid w:val="004004A4"/>
    <w:rsid w:val="004137B1"/>
    <w:rsid w:val="00427182"/>
    <w:rsid w:val="004422F9"/>
    <w:rsid w:val="004614C2"/>
    <w:rsid w:val="004707C9"/>
    <w:rsid w:val="004725A0"/>
    <w:rsid w:val="00476DCE"/>
    <w:rsid w:val="00487575"/>
    <w:rsid w:val="00494010"/>
    <w:rsid w:val="004A59F8"/>
    <w:rsid w:val="004B3840"/>
    <w:rsid w:val="004C0129"/>
    <w:rsid w:val="004D330C"/>
    <w:rsid w:val="005047B4"/>
    <w:rsid w:val="00540F65"/>
    <w:rsid w:val="005452AD"/>
    <w:rsid w:val="005521C7"/>
    <w:rsid w:val="0055491D"/>
    <w:rsid w:val="005A0698"/>
    <w:rsid w:val="005B027C"/>
    <w:rsid w:val="005D05A9"/>
    <w:rsid w:val="005D33AD"/>
    <w:rsid w:val="005D40A3"/>
    <w:rsid w:val="005F064C"/>
    <w:rsid w:val="005F2E5E"/>
    <w:rsid w:val="005F5A0B"/>
    <w:rsid w:val="00601BF8"/>
    <w:rsid w:val="0060678A"/>
    <w:rsid w:val="00613F45"/>
    <w:rsid w:val="006162D9"/>
    <w:rsid w:val="00644A86"/>
    <w:rsid w:val="006A4C09"/>
    <w:rsid w:val="006E29D0"/>
    <w:rsid w:val="00700025"/>
    <w:rsid w:val="00701FE1"/>
    <w:rsid w:val="007129C8"/>
    <w:rsid w:val="007158E2"/>
    <w:rsid w:val="00724A83"/>
    <w:rsid w:val="007327FA"/>
    <w:rsid w:val="00737651"/>
    <w:rsid w:val="00756924"/>
    <w:rsid w:val="00773501"/>
    <w:rsid w:val="007745EA"/>
    <w:rsid w:val="00784C8D"/>
    <w:rsid w:val="007935A5"/>
    <w:rsid w:val="00793780"/>
    <w:rsid w:val="007A30B3"/>
    <w:rsid w:val="007B4D4F"/>
    <w:rsid w:val="007C2E8D"/>
    <w:rsid w:val="007D2351"/>
    <w:rsid w:val="007E7FFC"/>
    <w:rsid w:val="0081052F"/>
    <w:rsid w:val="00810CC7"/>
    <w:rsid w:val="008201D1"/>
    <w:rsid w:val="008272BA"/>
    <w:rsid w:val="00846676"/>
    <w:rsid w:val="00867759"/>
    <w:rsid w:val="008924C1"/>
    <w:rsid w:val="00892F79"/>
    <w:rsid w:val="008A37A3"/>
    <w:rsid w:val="008B1AA9"/>
    <w:rsid w:val="008B298C"/>
    <w:rsid w:val="008B6313"/>
    <w:rsid w:val="008C13A6"/>
    <w:rsid w:val="008C3395"/>
    <w:rsid w:val="008C6718"/>
    <w:rsid w:val="008D141E"/>
    <w:rsid w:val="008D6292"/>
    <w:rsid w:val="008E65C6"/>
    <w:rsid w:val="008F239A"/>
    <w:rsid w:val="00996021"/>
    <w:rsid w:val="009B2811"/>
    <w:rsid w:val="009C460D"/>
    <w:rsid w:val="009C65FE"/>
    <w:rsid w:val="00A24547"/>
    <w:rsid w:val="00A31DB6"/>
    <w:rsid w:val="00A32EFB"/>
    <w:rsid w:val="00A521DA"/>
    <w:rsid w:val="00A8077F"/>
    <w:rsid w:val="00A82F5D"/>
    <w:rsid w:val="00AA5FDD"/>
    <w:rsid w:val="00AB44BB"/>
    <w:rsid w:val="00AC0F94"/>
    <w:rsid w:val="00AD231B"/>
    <w:rsid w:val="00AD7A2B"/>
    <w:rsid w:val="00AF2B8E"/>
    <w:rsid w:val="00AF34F9"/>
    <w:rsid w:val="00B03E04"/>
    <w:rsid w:val="00B116C3"/>
    <w:rsid w:val="00B20B5A"/>
    <w:rsid w:val="00B247FE"/>
    <w:rsid w:val="00B33554"/>
    <w:rsid w:val="00B472A2"/>
    <w:rsid w:val="00B70664"/>
    <w:rsid w:val="00B7611E"/>
    <w:rsid w:val="00B7678D"/>
    <w:rsid w:val="00B816E8"/>
    <w:rsid w:val="00B97055"/>
    <w:rsid w:val="00BA4687"/>
    <w:rsid w:val="00BD34CB"/>
    <w:rsid w:val="00BE2F46"/>
    <w:rsid w:val="00BF616E"/>
    <w:rsid w:val="00BF7781"/>
    <w:rsid w:val="00C0062B"/>
    <w:rsid w:val="00C127F4"/>
    <w:rsid w:val="00C22630"/>
    <w:rsid w:val="00C22BD8"/>
    <w:rsid w:val="00C35EB2"/>
    <w:rsid w:val="00C370F4"/>
    <w:rsid w:val="00C51500"/>
    <w:rsid w:val="00C55F07"/>
    <w:rsid w:val="00C8452A"/>
    <w:rsid w:val="00C87EDE"/>
    <w:rsid w:val="00C90F5A"/>
    <w:rsid w:val="00CA5425"/>
    <w:rsid w:val="00CB0131"/>
    <w:rsid w:val="00CD2DDE"/>
    <w:rsid w:val="00CD4850"/>
    <w:rsid w:val="00CE7D77"/>
    <w:rsid w:val="00CF324B"/>
    <w:rsid w:val="00CF3CEF"/>
    <w:rsid w:val="00D43B49"/>
    <w:rsid w:val="00D47D64"/>
    <w:rsid w:val="00D65924"/>
    <w:rsid w:val="00D67A7A"/>
    <w:rsid w:val="00D749C8"/>
    <w:rsid w:val="00D7625A"/>
    <w:rsid w:val="00D81897"/>
    <w:rsid w:val="00DB3F1A"/>
    <w:rsid w:val="00DC30D2"/>
    <w:rsid w:val="00E01589"/>
    <w:rsid w:val="00E33372"/>
    <w:rsid w:val="00E829BE"/>
    <w:rsid w:val="00E874F6"/>
    <w:rsid w:val="00EB5560"/>
    <w:rsid w:val="00EC2B0A"/>
    <w:rsid w:val="00ED08D5"/>
    <w:rsid w:val="00EF024F"/>
    <w:rsid w:val="00F269AE"/>
    <w:rsid w:val="00F31F2F"/>
    <w:rsid w:val="00F37CFE"/>
    <w:rsid w:val="00F51549"/>
    <w:rsid w:val="00F7652F"/>
    <w:rsid w:val="00F82EAE"/>
    <w:rsid w:val="00FB00CC"/>
    <w:rsid w:val="00FB623E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9714"/>
  <w15:docId w15:val="{D9330B4F-744D-4A8A-BA48-BA3E54F0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91628"/>
  </w:style>
  <w:style w:type="paragraph" w:styleId="1">
    <w:name w:val="heading 1"/>
    <w:basedOn w:val="a"/>
    <w:next w:val="a"/>
    <w:rsid w:val="001916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916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916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916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9162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916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16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9162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916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9162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9162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9162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5154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CD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D4850"/>
    <w:rPr>
      <w:color w:val="0000FF"/>
      <w:u w:val="single"/>
    </w:rPr>
  </w:style>
  <w:style w:type="character" w:styleId="ab">
    <w:name w:val="Emphasis"/>
    <w:basedOn w:val="a0"/>
    <w:uiPriority w:val="20"/>
    <w:qFormat/>
    <w:rsid w:val="000D0693"/>
    <w:rPr>
      <w:i/>
      <w:iCs/>
    </w:rPr>
  </w:style>
  <w:style w:type="character" w:customStyle="1" w:styleId="blk">
    <w:name w:val="blk"/>
    <w:basedOn w:val="a0"/>
    <w:rsid w:val="00CF3CEF"/>
  </w:style>
  <w:style w:type="character" w:customStyle="1" w:styleId="extended-textfull">
    <w:name w:val="extended-text__full"/>
    <w:basedOn w:val="a0"/>
    <w:rsid w:val="00CF3CEF"/>
  </w:style>
  <w:style w:type="character" w:customStyle="1" w:styleId="extended-textshort">
    <w:name w:val="extended-text__short"/>
    <w:basedOn w:val="a0"/>
    <w:rsid w:val="00CF3CEF"/>
  </w:style>
  <w:style w:type="character" w:styleId="ac">
    <w:name w:val="annotation reference"/>
    <w:basedOn w:val="a0"/>
    <w:uiPriority w:val="99"/>
    <w:semiHidden/>
    <w:unhideWhenUsed/>
    <w:rsid w:val="00B7611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7611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7611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7611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7611E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7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6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B58350C4A229B995B543B51E4327A0D3BCC68303F60311C663EA4DE78E8B1854F1CAC26E9120AB56212E5F492B607C1F27C3E06J8R3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DB58350C4A229B995B543B51E4327A0D3BCC68303F60311C663EA4DE78E8B1854F1CAF20E9120AB56212E5F492B607C1F27C3E06J8R3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747E6-59FB-42EC-B1FF-00FCA610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2960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Хайретдинова Эльмира Ирековна</dc:creator>
  <cp:lastModifiedBy>Гендон Анжелика Леонидовна</cp:lastModifiedBy>
  <cp:revision>9</cp:revision>
  <dcterms:created xsi:type="dcterms:W3CDTF">2021-01-25T11:05:00Z</dcterms:created>
  <dcterms:modified xsi:type="dcterms:W3CDTF">2021-01-25T11:59:00Z</dcterms:modified>
</cp:coreProperties>
</file>