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E1" w:rsidRDefault="00946CB7" w:rsidP="00D939E0">
      <w:pPr>
        <w:pStyle w:val="Quote"/>
      </w:pPr>
      <w:r>
        <w:t>Инструкция к заполнению форм Мониторинга «Оценка финансовой устойчивости учреждений в текущих условиях»</w:t>
      </w:r>
    </w:p>
    <w:p w:rsidR="00653BE1" w:rsidRDefault="00653BE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sz w:val="24"/>
          <w:szCs w:val="24"/>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Форма мониторинга «Оценка финансовой устойчивости учреждений в текущей ситуации» (далее Мониторинг) предполагает заполнение 6 отдельных таблиц:</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1: Поступления и выплаты;</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2: Кредиторска</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задолженность;</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Таблица 3: Сведения о реализации мероприятий в соответствии с Методическими рекомендациями по профилактике новой коронавирусной инфекции (COVID-19), утв. Федеральной </w:t>
      </w:r>
      <w:r w:rsidR="00D939E0">
        <w:rPr>
          <w:rFonts w:ascii="Times New Roman" w:eastAsia="Times New Roman" w:hAnsi="Times New Roman" w:cs="Times New Roman"/>
          <w:color w:val="000000"/>
          <w:sz w:val="24"/>
          <w:szCs w:val="24"/>
        </w:rPr>
        <w:t>Методические рекомендации);</w:t>
      </w:r>
      <w:r>
        <w:rPr>
          <w:rFonts w:ascii="Times New Roman" w:eastAsia="Times New Roman" w:hAnsi="Times New Roman" w:cs="Times New Roman"/>
          <w:color w:val="000000"/>
          <w:sz w:val="24"/>
          <w:szCs w:val="24"/>
        </w:rPr>
        <w:t>службой по надзору в сфере защиты прав потребителей и благополучия человека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4: Сведения о количестве мест для приема на обучение</w:t>
      </w:r>
      <w:r>
        <w:rPr>
          <w:rFonts w:ascii="Times New Roman" w:eastAsia="Times New Roman" w:hAnsi="Times New Roman" w:cs="Times New Roman"/>
          <w:sz w:val="24"/>
          <w:szCs w:val="24"/>
        </w:rPr>
        <w:t xml:space="preserve"> по</w:t>
      </w:r>
      <w:r>
        <w:rPr>
          <w:rFonts w:ascii="Times New Roman" w:eastAsia="Times New Roman" w:hAnsi="Times New Roman" w:cs="Times New Roman"/>
          <w:color w:val="000000"/>
          <w:sz w:val="24"/>
          <w:szCs w:val="24"/>
        </w:rPr>
        <w:t xml:space="preserve"> договорам об оказании платных образовательных услуг по образовательным программам высшего образования – программам бакалавриата, специалитета, магистратуры, аспирантуры, ординатуры, по программам ассистентуры-стажировки и объемах поступлений по договорам об оказании платных образовательных услуг; </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5: Сведения о субсидии на финансовое обеспечение стипендиальных выплат, количестве и структуре получателей стипендий (без учета субсидии на стипендиальное обеспечение стипендий Президента РФ и Правительства РФ);</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Таблица 6: Сведения о численности и </w:t>
      </w:r>
      <w:r>
        <w:rPr>
          <w:rFonts w:ascii="Times New Roman" w:eastAsia="Times New Roman" w:hAnsi="Times New Roman" w:cs="Times New Roman"/>
          <w:sz w:val="24"/>
          <w:szCs w:val="24"/>
        </w:rPr>
        <w:t>заработной плате</w:t>
      </w:r>
      <w:r>
        <w:rPr>
          <w:rFonts w:ascii="Times New Roman" w:eastAsia="Times New Roman" w:hAnsi="Times New Roman" w:cs="Times New Roman"/>
          <w:color w:val="000000"/>
          <w:sz w:val="24"/>
          <w:szCs w:val="24"/>
        </w:rPr>
        <w:t xml:space="preserve"> работников учреждения.</w:t>
      </w:r>
    </w:p>
    <w:p w:rsidR="00653BE1" w:rsidRDefault="00653B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i/>
          <w:color w:val="333333"/>
          <w:sz w:val="24"/>
          <w:szCs w:val="24"/>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i/>
          <w:color w:val="333333"/>
          <w:sz w:val="24"/>
          <w:szCs w:val="24"/>
        </w:rPr>
      </w:pPr>
      <w:r>
        <w:rPr>
          <w:rFonts w:ascii="Times New Roman" w:eastAsia="Times New Roman" w:hAnsi="Times New Roman" w:cs="Times New Roman"/>
          <w:b/>
          <w:i/>
          <w:color w:val="333333"/>
          <w:sz w:val="24"/>
          <w:szCs w:val="24"/>
        </w:rPr>
        <w:t>Общие принципы заполнения таблиц мониторинга:</w:t>
      </w:r>
    </w:p>
    <w:p w:rsidR="00653BE1" w:rsidRDefault="00946CB7">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1, 2, 3, 4, 5 заполняются в целом по учреждению (т.е. головное учреждение + обособленные подразделения/филиалы). Таблица 6 заполняется в разрезе головного учреждения и обособленных подразделений/филиалов;</w:t>
      </w:r>
    </w:p>
    <w:p w:rsidR="00653BE1" w:rsidRDefault="00946CB7">
      <w:pPr>
        <w:numPr>
          <w:ilvl w:val="0"/>
          <w:numId w:val="4"/>
        </w:numPr>
        <w:pBdr>
          <w:top w:val="nil"/>
          <w:left w:val="nil"/>
          <w:bottom w:val="nil"/>
          <w:right w:val="nil"/>
          <w:between w:val="nil"/>
        </w:pBdr>
        <w:shd w:val="clear" w:color="auto" w:fill="FFFFFF"/>
        <w:spacing w:after="0"/>
        <w:ind w:left="0"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Финансовые показатели представляются в рублях с точностью до двух знаков после запятой;</w:t>
      </w:r>
    </w:p>
    <w:p w:rsidR="00653BE1" w:rsidRDefault="00946CB7">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таблиц 1, 2, 3 мониторинга по периодам приводятся в разрезе источников финансирования:</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субсидии на финансовое обеспечение выполнени</w:t>
      </w:r>
      <w:r>
        <w:rPr>
          <w:rFonts w:ascii="Times New Roman" w:eastAsia="Times New Roman" w:hAnsi="Times New Roman" w:cs="Times New Roman"/>
          <w:sz w:val="24"/>
          <w:szCs w:val="24"/>
        </w:rPr>
        <w:t xml:space="preserve">я </w:t>
      </w:r>
      <w:r>
        <w:rPr>
          <w:rFonts w:ascii="Times New Roman" w:eastAsia="Times New Roman" w:hAnsi="Times New Roman" w:cs="Times New Roman"/>
          <w:color w:val="000000"/>
          <w:sz w:val="24"/>
          <w:szCs w:val="24"/>
        </w:rPr>
        <w:t>государственного задания, субсидии на финансовое обеспечение выполнени</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государственного задания за счет средств бюджета ФФОМС (далее КФО 4);</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субсидии, предоставляемые в соответствии с абзацем вторым пункта 1 статьи 78.1 Бюджетного кодекса Российской Федерации (далее КФО 5);</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средства обязательного медицинского страхования (далее КФО 7);</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поступления от оказания услуг (выполнения работ) на платной основе и от приносящей доход деятельности (далее КФО 2).</w:t>
      </w:r>
    </w:p>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tbl>
      <w:tblPr>
        <w:tblStyle w:val="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653BE1">
        <w:tc>
          <w:tcPr>
            <w:tcW w:w="9345" w:type="dxa"/>
          </w:tcPr>
          <w:p w:rsidR="00653BE1" w:rsidRDefault="00946CB7">
            <w:pPr>
              <w:pBdr>
                <w:top w:val="nil"/>
                <w:left w:val="nil"/>
                <w:bottom w:val="nil"/>
                <w:right w:val="nil"/>
                <w:between w:val="nil"/>
              </w:pBdr>
              <w:spacing w:line="259" w:lineRule="auto"/>
              <w:ind w:firstLine="738"/>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Контроль: дополнительно в рамках таблицы 1 «Поступления и выплаты» из данных по графам «Поступления от оказания услуг (выполнения работ) на платной основе и от приносящей доход деятельности» конкретизируются суммы грантов. При этом суммы, отраженные по графам «Поступления от оказания услуг (выполнения работ) на платной основе и от приносящей доход деятельности / </w:t>
            </w:r>
            <w:r>
              <w:rPr>
                <w:rFonts w:ascii="Times New Roman" w:eastAsia="Times New Roman" w:hAnsi="Times New Roman" w:cs="Times New Roman"/>
                <w:b/>
                <w:i/>
                <w:color w:val="FF0000"/>
                <w:sz w:val="24"/>
                <w:szCs w:val="24"/>
              </w:rPr>
              <w:t>из них гранты</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b/>
                <w:i/>
                <w:color w:val="FF0000"/>
                <w:sz w:val="24"/>
                <w:szCs w:val="24"/>
              </w:rPr>
              <w:t>не могут превышать</w:t>
            </w:r>
            <w:r>
              <w:rPr>
                <w:rFonts w:ascii="Times New Roman" w:eastAsia="Times New Roman" w:hAnsi="Times New Roman" w:cs="Times New Roman"/>
                <w:i/>
                <w:color w:val="FF0000"/>
                <w:sz w:val="24"/>
                <w:szCs w:val="24"/>
              </w:rPr>
              <w:t xml:space="preserve"> сумм, отраженных по графам «Поступления от оказания услуг (выполнения работ) на платной основе и от приносящей доход деятельности / </w:t>
            </w:r>
            <w:r>
              <w:rPr>
                <w:rFonts w:ascii="Times New Roman" w:eastAsia="Times New Roman" w:hAnsi="Times New Roman" w:cs="Times New Roman"/>
                <w:b/>
                <w:i/>
                <w:color w:val="FF0000"/>
                <w:sz w:val="24"/>
                <w:szCs w:val="24"/>
              </w:rPr>
              <w:t>Всего</w:t>
            </w:r>
            <w:r>
              <w:rPr>
                <w:rFonts w:ascii="Times New Roman" w:eastAsia="Times New Roman" w:hAnsi="Times New Roman" w:cs="Times New Roman"/>
                <w:i/>
                <w:color w:val="FF0000"/>
                <w:sz w:val="24"/>
                <w:szCs w:val="24"/>
              </w:rPr>
              <w:t>».</w:t>
            </w:r>
          </w:p>
          <w:p w:rsidR="00653BE1" w:rsidRDefault="00946CB7">
            <w:pPr>
              <w:pBdr>
                <w:top w:val="nil"/>
                <w:left w:val="nil"/>
                <w:bottom w:val="nil"/>
                <w:right w:val="nil"/>
                <w:between w:val="nil"/>
              </w:pBdr>
              <w:spacing w:after="160" w:line="259" w:lineRule="auto"/>
              <w:ind w:firstLine="738"/>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Родительские строки в таблицах должны быть более или равны суммам дочерних строк при отсутствии более строгих контрольных соотношений зафиксированных в рамках формул таблиц.</w:t>
            </w:r>
          </w:p>
          <w:p w:rsidR="00653BE1" w:rsidRDefault="00946CB7">
            <w:pPr>
              <w:ind w:firstLine="738"/>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lastRenderedPageBreak/>
              <w:t xml:space="preserve">Обращаем внимание, что обязательны к заполнению все периоды указанные в формах. </w:t>
            </w:r>
          </w:p>
        </w:tc>
      </w:tr>
    </w:tbl>
    <w:p w:rsidR="00653BE1" w:rsidRDefault="00653BE1">
      <w:pPr>
        <w:spacing w:after="0"/>
        <w:rPr>
          <w:rFonts w:ascii="Times New Roman" w:eastAsia="Times New Roman" w:hAnsi="Times New Roman" w:cs="Times New Roman"/>
          <w:b/>
          <w:color w:val="333333"/>
          <w:sz w:val="24"/>
          <w:szCs w:val="24"/>
          <w:u w:val="single"/>
        </w:rPr>
      </w:pPr>
    </w:p>
    <w:p w:rsidR="00653BE1" w:rsidRDefault="00653BE1">
      <w:pPr>
        <w:spacing w:after="0"/>
        <w:rPr>
          <w:rFonts w:ascii="Times New Roman" w:eastAsia="Times New Roman" w:hAnsi="Times New Roman" w:cs="Times New Roman"/>
          <w:b/>
          <w:color w:val="333333"/>
          <w:sz w:val="24"/>
          <w:szCs w:val="24"/>
          <w:u w:val="single"/>
        </w:rPr>
      </w:pPr>
    </w:p>
    <w:p w:rsidR="00653BE1" w:rsidRDefault="00653BE1">
      <w:pPr>
        <w:spacing w:after="0"/>
        <w:rPr>
          <w:rFonts w:ascii="Times New Roman" w:eastAsia="Times New Roman" w:hAnsi="Times New Roman" w:cs="Times New Roman"/>
          <w:b/>
          <w:color w:val="333333"/>
          <w:sz w:val="24"/>
          <w:szCs w:val="24"/>
          <w:u w:val="single"/>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Таблица 1: Поступления и выплаты</w:t>
      </w:r>
    </w:p>
    <w:p w:rsidR="00653BE1" w:rsidRDefault="00653BE1">
      <w:pPr>
        <w:spacing w:after="0"/>
        <w:ind w:firstLine="709"/>
        <w:jc w:val="both"/>
        <w:rPr>
          <w:rFonts w:ascii="Times New Roman" w:eastAsia="Times New Roman" w:hAnsi="Times New Roman" w:cs="Times New Roman"/>
          <w:sz w:val="24"/>
          <w:szCs w:val="24"/>
        </w:rPr>
      </w:pP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предполагает отражение данных финансовых показателей учреждения </w:t>
      </w:r>
      <w:r>
        <w:rPr>
          <w:rFonts w:ascii="Times New Roman" w:eastAsia="Times New Roman" w:hAnsi="Times New Roman" w:cs="Times New Roman"/>
          <w:b/>
          <w:sz w:val="24"/>
          <w:szCs w:val="24"/>
        </w:rPr>
        <w:t>в следующем разрезе</w:t>
      </w:r>
      <w:r>
        <w:rPr>
          <w:rFonts w:ascii="Times New Roman" w:eastAsia="Times New Roman" w:hAnsi="Times New Roman" w:cs="Times New Roman"/>
          <w:sz w:val="24"/>
          <w:szCs w:val="24"/>
        </w:rPr>
        <w:t>:</w:t>
      </w:r>
    </w:p>
    <w:p w:rsidR="00653BE1" w:rsidRDefault="00946CB7">
      <w:pPr>
        <w:spacing w:after="0"/>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 Остаток на начало года.</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Остаток денежных средств приводится в соответствии с ф. 0503779 годовой бухгалтерской отчетности на начало соответствующего года по КФО 2,4,5,7.  По графам 2-6 по состоянию на 01.01.2019 года, по графам 27-31 по состоянию на 01.01.2020 года.</w:t>
      </w:r>
    </w:p>
    <w:p w:rsidR="00653BE1" w:rsidRDefault="00946CB7">
      <w:pPr>
        <w:spacing w:after="0"/>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 Остаток средств на конец периода.</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Данные по строке рассчитываются автоматически по каждому периоду в разрезе КФО по формуле: </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1 «Остаток на начало года» + строка 3 «Поступления средств» - строка 4 «Выплаты»</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3. Поступления средств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(Заполняются нарастающим итогом по кассовому методу).</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4. Выплаты</w:t>
      </w:r>
      <w:r>
        <w:rPr>
          <w:rFonts w:ascii="Times New Roman" w:eastAsia="Times New Roman" w:hAnsi="Times New Roman" w:cs="Times New Roman"/>
          <w:sz w:val="24"/>
          <w:szCs w:val="24"/>
        </w:rPr>
        <w:t xml:space="preserve"> (Заполняются нарастающим итогом по кассовому методу).</w:t>
      </w:r>
    </w:p>
    <w:p w:rsidR="00653BE1" w:rsidRDefault="00653BE1">
      <w:pPr>
        <w:spacing w:after="0"/>
        <w:ind w:firstLine="709"/>
        <w:jc w:val="both"/>
        <w:rPr>
          <w:rFonts w:ascii="Times New Roman" w:eastAsia="Times New Roman" w:hAnsi="Times New Roman" w:cs="Times New Roman"/>
          <w:sz w:val="24"/>
          <w:szCs w:val="24"/>
        </w:rPr>
      </w:pP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предполагает отражение фактических поступлений и выплат на отчетные даты по завершенным отчетным периодам, а также данных первоначального ПФХД на 2020 год и плановых показателей по состоянию на 01.10.2020, 01.01.2021 года по итогам 2020 года.</w:t>
      </w:r>
    </w:p>
    <w:p w:rsidR="00653BE1" w:rsidRDefault="00653BE1">
      <w:pPr>
        <w:spacing w:after="0"/>
        <w:ind w:firstLine="709"/>
        <w:jc w:val="both"/>
        <w:rPr>
          <w:rFonts w:ascii="Times New Roman" w:eastAsia="Times New Roman" w:hAnsi="Times New Roman" w:cs="Times New Roman"/>
          <w:b/>
          <w:i/>
          <w:color w:val="333333"/>
          <w:sz w:val="24"/>
          <w:szCs w:val="24"/>
        </w:rPr>
      </w:pPr>
    </w:p>
    <w:p w:rsidR="00653BE1" w:rsidRDefault="00946CB7">
      <w:pPr>
        <w:spacing w:after="0"/>
        <w:ind w:firstLine="709"/>
        <w:jc w:val="both"/>
        <w:rPr>
          <w:rFonts w:ascii="Times New Roman" w:eastAsia="Times New Roman" w:hAnsi="Times New Roman" w:cs="Times New Roman"/>
          <w:b/>
          <w:i/>
          <w:color w:val="333333"/>
          <w:sz w:val="24"/>
          <w:szCs w:val="24"/>
        </w:rPr>
      </w:pPr>
      <w:r>
        <w:rPr>
          <w:rFonts w:ascii="Times New Roman" w:eastAsia="Times New Roman" w:hAnsi="Times New Roman" w:cs="Times New Roman"/>
          <w:b/>
          <w:i/>
          <w:color w:val="333333"/>
          <w:sz w:val="24"/>
          <w:szCs w:val="24"/>
        </w:rPr>
        <w:t>Принципы заполнения данных по поступлениям таблицы 1:</w:t>
      </w:r>
    </w:p>
    <w:p w:rsidR="00653BE1" w:rsidRDefault="00946CB7">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Строка 3 «Поступления средств» рассчитывается автоматически как сумма строк:</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«Доходы от образовательной деятельности» (код аналитической группы подвида доходов (далее АнКВД) </w:t>
      </w:r>
      <w:r>
        <w:rPr>
          <w:rFonts w:ascii="Times New Roman" w:eastAsia="Times New Roman" w:hAnsi="Times New Roman" w:cs="Times New Roman"/>
          <w:color w:val="333333"/>
          <w:sz w:val="24"/>
          <w:szCs w:val="24"/>
          <w:highlight w:val="white"/>
        </w:rPr>
        <w:t>130</w:t>
      </w:r>
      <w:r>
        <w:rPr>
          <w:rFonts w:ascii="Times New Roman" w:eastAsia="Times New Roman" w:hAnsi="Times New Roman" w:cs="Times New Roman"/>
          <w:color w:val="000000"/>
          <w:sz w:val="24"/>
          <w:szCs w:val="24"/>
        </w:rPr>
        <w:t>);</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«Доходы от научной (научно-исследовательской) деятельности» (АнКВД 130);</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«Доходы от медицинской деятельности» (АнКВД 130);</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«Доходы от сельскохозяйственной деятельности» (АнКВД 130);</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«Доходы от проектно-изыскательских работ» (АнКВД 130); </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«Доходы от прочих видов деятельности» (АнКВД 130).</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Примечание: из данных по строке 3.6. «Доходы от прочих видов деятельности» выделяются доходы в виде платы </w:t>
      </w:r>
      <w:r>
        <w:rPr>
          <w:rFonts w:ascii="Times New Roman" w:eastAsia="Times New Roman" w:hAnsi="Times New Roman" w:cs="Times New Roman"/>
          <w:b/>
          <w:i/>
          <w:color w:val="000000"/>
          <w:sz w:val="24"/>
          <w:szCs w:val="24"/>
        </w:rPr>
        <w:t>з</w:t>
      </w:r>
      <w:r>
        <w:rPr>
          <w:rFonts w:ascii="Times New Roman" w:eastAsia="Times New Roman" w:hAnsi="Times New Roman" w:cs="Times New Roman"/>
          <w:b/>
          <w:i/>
          <w:color w:val="22272F"/>
          <w:sz w:val="24"/>
          <w:szCs w:val="24"/>
          <w:highlight w:val="white"/>
        </w:rPr>
        <w:t>а пользование общежитием в рамках строки 3.6.1. «-из них проживание в общежитии».</w:t>
      </w:r>
      <w:r>
        <w:rPr>
          <w:rFonts w:ascii="Times New Roman" w:eastAsia="Times New Roman" w:hAnsi="Times New Roman" w:cs="Times New Roman"/>
          <w:i/>
          <w:color w:val="000000"/>
          <w:sz w:val="24"/>
          <w:szCs w:val="24"/>
        </w:rPr>
        <w:t xml:space="preserve"> При этом поступления, приведенные по строке 3.6.1, не могут превышать поступления по строке 3.6. соответствующих граф. </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«Безвозмездные денежные поступления» (АнКВД 150);</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«Прочие доходы»</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«Поступление заемных (кредитных) средств».</w:t>
      </w:r>
    </w:p>
    <w:p w:rsidR="00653BE1" w:rsidRDefault="00946CB7">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Строка 3.1. «Доходы от образовательной деятельности» рассчитывается автоматически как сумма строк:</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- 3.1.1. «- дошкольное образование»;</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- 3.1.2. «- начальное общее образование»;</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- 3.1.3. «- основное общее образование»;</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- 3.1.4. «- среднее общее образование»;</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- 3.1.5. «- среднее профессиональное образование»;</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- 3.1.6. «- высшее образование»;</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- 3.1.7. «-профессиональное обучение»;</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- 3.1.8. «- дополнительное образование».</w:t>
      </w:r>
    </w:p>
    <w:p w:rsidR="00653BE1" w:rsidRDefault="00946CB7">
      <w:pPr>
        <w:numPr>
          <w:ilvl w:val="0"/>
          <w:numId w:val="5"/>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Строка 3.7. «Безвозмездные денежные поступления» рассчитывается автоматически как сумма строк:</w:t>
      </w:r>
    </w:p>
    <w:p w:rsidR="00653BE1" w:rsidRDefault="00946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- 3.7.1. «- гранты от РФФИ»;</w:t>
      </w:r>
    </w:p>
    <w:p w:rsidR="00653BE1" w:rsidRDefault="00946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- 3.7.2. «-гранты от РНФ»;</w:t>
      </w:r>
    </w:p>
    <w:p w:rsidR="00653BE1" w:rsidRDefault="00946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- 3.7.3. «-гранты в форме субсидии от сектора государственного управления»;</w:t>
      </w:r>
    </w:p>
    <w:p w:rsidR="00653BE1" w:rsidRDefault="00946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- 3.7.4. «-гранты и пожертвования от юридических лиц (НЕ относящихся к госсектору и сектору госуправления)»;</w:t>
      </w:r>
    </w:p>
    <w:p w:rsidR="00653BE1" w:rsidRDefault="00946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- 3.7.5. «-гранты и пожертвования от физических лиц»;</w:t>
      </w:r>
    </w:p>
    <w:p w:rsidR="00653BE1" w:rsidRDefault="00946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- 3.7.6. «-иные».</w:t>
      </w:r>
    </w:p>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i/>
          <w:color w:val="FF0000"/>
          <w:sz w:val="24"/>
          <w:szCs w:val="24"/>
        </w:rPr>
      </w:pPr>
    </w:p>
    <w:tbl>
      <w:tblPr>
        <w:tblStyle w:val="a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653BE1">
        <w:tc>
          <w:tcPr>
            <w:tcW w:w="9345" w:type="dxa"/>
          </w:tcPr>
          <w:p w:rsidR="00653BE1" w:rsidRDefault="00946CB7">
            <w:pPr>
              <w:pBdr>
                <w:top w:val="nil"/>
                <w:left w:val="nil"/>
                <w:bottom w:val="nil"/>
                <w:right w:val="nil"/>
                <w:between w:val="nil"/>
              </w:pBdr>
              <w:spacing w:after="160" w:line="259" w:lineRule="auto"/>
              <w:ind w:firstLine="738"/>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Контроль: Поступления, приведенные по строкам 3.7.1. -3.7.6., не могут превышать поступления по строке 3.7. «Безвозмездные денежные поступления» соответствующих граф.</w:t>
            </w:r>
          </w:p>
        </w:tc>
      </w:tr>
    </w:tbl>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i/>
          <w:color w:val="FF0000"/>
          <w:sz w:val="24"/>
          <w:szCs w:val="24"/>
        </w:rPr>
      </w:pPr>
    </w:p>
    <w:p w:rsidR="00653BE1" w:rsidRDefault="00946CB7">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строке 3.8. «Прочие доходы» отражаются</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color w:val="000000"/>
          <w:sz w:val="24"/>
          <w:szCs w:val="24"/>
        </w:rPr>
        <w:t xml:space="preserve">поступления, не предусмотренные к раскрытию в рамках строк 3.1. – 3.7. и 3.9. «Поступление заемных (кредитных) средств», в том числе: доходы от собственности (КВД 120), от операций с активами, прочие доходы (КВД 180), доходы от штрафов, пеней, иных сумм принудительного изъятия (КВД 140) и прочие поступления за исключением заемных (кредитных) средств. </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выплаты, уменьшающие доход: НДС, налог на прибыль и прочие налоги, уменьшающие доход (КВД 180), также включаются в эту строку со знаком "минус", таким образом уменьшая общую сумму доходов по строке.</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по строке указываются показатели от переоценки активов (отражаются со знаком "минус" в случае отрицательной курсовой разницы) и показатели возврата дебиторской задолженности прошлых лет.</w:t>
      </w:r>
    </w:p>
    <w:p w:rsidR="00653BE1" w:rsidRDefault="00653BE1">
      <w:pPr>
        <w:spacing w:after="0"/>
        <w:ind w:firstLine="709"/>
        <w:jc w:val="both"/>
        <w:rPr>
          <w:rFonts w:ascii="Times New Roman" w:eastAsia="Times New Roman" w:hAnsi="Times New Roman" w:cs="Times New Roman"/>
          <w:b/>
          <w:i/>
          <w:color w:val="333333"/>
          <w:sz w:val="24"/>
          <w:szCs w:val="24"/>
        </w:rPr>
      </w:pPr>
    </w:p>
    <w:p w:rsidR="00653BE1" w:rsidRDefault="00946CB7">
      <w:pPr>
        <w:spacing w:after="0"/>
        <w:ind w:firstLine="709"/>
        <w:jc w:val="both"/>
        <w:rPr>
          <w:rFonts w:ascii="Times New Roman" w:eastAsia="Times New Roman" w:hAnsi="Times New Roman" w:cs="Times New Roman"/>
          <w:b/>
          <w:i/>
          <w:color w:val="333333"/>
          <w:sz w:val="24"/>
          <w:szCs w:val="24"/>
        </w:rPr>
      </w:pPr>
      <w:r>
        <w:rPr>
          <w:rFonts w:ascii="Times New Roman" w:eastAsia="Times New Roman" w:hAnsi="Times New Roman" w:cs="Times New Roman"/>
          <w:b/>
          <w:i/>
          <w:color w:val="333333"/>
          <w:sz w:val="24"/>
          <w:szCs w:val="24"/>
        </w:rPr>
        <w:t>Принципы заполнения данных по выплатам таблицы 1:</w:t>
      </w:r>
    </w:p>
    <w:p w:rsidR="00653BE1" w:rsidRDefault="00946CB7">
      <w:pPr>
        <w:numPr>
          <w:ilvl w:val="0"/>
          <w:numId w:val="1"/>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Строка 4 «Выплаты» рассчитывается автоматически как сумма строк:</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«Выплаты персоналу» (КВР 111,112,113,119,130);</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«Социальные и иные выплаты населению» (КВР 300);</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«Уплата налогов, сборов и иных платежей»;</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«Безвозмездные перечисления организациям и физическим лицам»;</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 «Расходы на закупку товаров, работ и услуг»; </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«Прочие выплаты, всего».</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Примечание: Из данных по строке 4.6. «</w:t>
      </w:r>
      <w:r>
        <w:rPr>
          <w:rFonts w:ascii="Times New Roman" w:eastAsia="Times New Roman" w:hAnsi="Times New Roman" w:cs="Times New Roman"/>
          <w:color w:val="000000"/>
          <w:sz w:val="24"/>
          <w:szCs w:val="24"/>
        </w:rPr>
        <w:t>Прочие выплаты, всего</w:t>
      </w:r>
      <w:r>
        <w:rPr>
          <w:rFonts w:ascii="Times New Roman" w:eastAsia="Times New Roman" w:hAnsi="Times New Roman" w:cs="Times New Roman"/>
          <w:i/>
          <w:color w:val="000000"/>
          <w:sz w:val="24"/>
          <w:szCs w:val="24"/>
        </w:rPr>
        <w:t>» выделяются возвраты в бюджет средств субсидии в рамках строки 4.6.1. «из них: возврат в бюджет средств субсидии». При этом данные, приведенные по строке 4.6.1. «из них: возврат в бюджет средств субсидии» не могут превышать выплаты по строке 4.6. «</w:t>
      </w:r>
      <w:r>
        <w:rPr>
          <w:rFonts w:ascii="Times New Roman" w:eastAsia="Times New Roman" w:hAnsi="Times New Roman" w:cs="Times New Roman"/>
          <w:color w:val="000000"/>
          <w:sz w:val="24"/>
          <w:szCs w:val="24"/>
        </w:rPr>
        <w:t>Прочие выплаты, всего</w:t>
      </w:r>
      <w:r>
        <w:rPr>
          <w:rFonts w:ascii="Times New Roman" w:eastAsia="Times New Roman" w:hAnsi="Times New Roman" w:cs="Times New Roman"/>
          <w:i/>
          <w:color w:val="000000"/>
          <w:sz w:val="24"/>
          <w:szCs w:val="24"/>
        </w:rPr>
        <w:t>», соответствующих граф.</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«Выплаты по заемным средствам».</w:t>
      </w:r>
    </w:p>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rsidR="00653BE1" w:rsidRDefault="00946CB7">
      <w:pPr>
        <w:numPr>
          <w:ilvl w:val="0"/>
          <w:numId w:val="1"/>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Строка 4.1 «Выплаты персоналу» рассчитывается автоматически как сумма строк:</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 «Оплата труда» (КВР 111);</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- 4.1.2. «Прочие выплаты персоналу» (КВР 112, 113, 130);</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- 4.1.3. «Страховые взносы на оплату труда» (КВР 119).</w:t>
      </w:r>
    </w:p>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rsidR="00653BE1" w:rsidRDefault="00946CB7">
      <w:pPr>
        <w:numPr>
          <w:ilvl w:val="0"/>
          <w:numId w:val="1"/>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Строка 4.1.1. «Оплата труда» рассчитывается автоматически как сумма строк:</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- 4.1.1.1. «педагогические работники» (КВР 111);</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- 4.1.1.2. «профессорско-преподавательский состав» (КВР 111);</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- 4.1.1.3. «научные работники» (КВР 111).</w:t>
      </w:r>
    </w:p>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Примечание: Из данных по строке 4.1.1.3. «научные работники» выделяются расходы на оплату труда научных сотрудников в рамках строки 4.1.1.3.1. «из них: научных сотрудников». </w:t>
      </w:r>
    </w:p>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p>
    <w:tbl>
      <w:tblPr>
        <w:tblStyle w:val="a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653BE1">
        <w:tc>
          <w:tcPr>
            <w:tcW w:w="9345" w:type="dxa"/>
          </w:tcPr>
          <w:p w:rsidR="00653BE1" w:rsidRDefault="00946CB7">
            <w:pPr>
              <w:pBdr>
                <w:top w:val="nil"/>
                <w:left w:val="nil"/>
                <w:bottom w:val="nil"/>
                <w:right w:val="nil"/>
                <w:between w:val="nil"/>
              </w:pBdr>
              <w:spacing w:after="160" w:line="259" w:lineRule="auto"/>
              <w:ind w:firstLine="709"/>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Контроль: Выплаты, приведенные по строке 4.1.1.3.1. «из них: научных сотрудников» не могут превышать выплаты по строке 4.1.1.3. «научные работники» соответствующих граф.</w:t>
            </w:r>
          </w:p>
        </w:tc>
      </w:tr>
    </w:tbl>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- 4.1.1.4. «врачи» (КВР 111);</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- 4.1.1.5. «средний медицинский персонал» (КВР 111);</w:t>
      </w:r>
    </w:p>
    <w:p w:rsidR="00653BE1" w:rsidRDefault="00946CB7">
      <w:pPr>
        <w:pBdr>
          <w:top w:val="nil"/>
          <w:left w:val="nil"/>
          <w:bottom w:val="nil"/>
          <w:right w:val="nil"/>
          <w:between w:val="nil"/>
        </w:pBdr>
        <w:tabs>
          <w:tab w:val="left" w:pos="6000"/>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- 4.1.1.6. «младший медицинский персонал» (КВР 111);</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- 4.1.1.7. «социальные работники» (КВР 111);</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- 4.1.1.8. «работники культуры» (КВР 111);</w:t>
      </w:r>
    </w:p>
    <w:p w:rsidR="00653BE1" w:rsidRDefault="00946CB7">
      <w:pPr>
        <w:pBdr>
          <w:top w:val="nil"/>
          <w:left w:val="nil"/>
          <w:bottom w:val="nil"/>
          <w:right w:val="nil"/>
          <w:between w:val="nil"/>
        </w:pBdr>
        <w:tabs>
          <w:tab w:val="left" w:pos="6000"/>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- 4.1.1.9. «прочий основной персонал» (КВР 111);</w:t>
      </w:r>
      <w:r>
        <w:rPr>
          <w:rFonts w:ascii="Times New Roman" w:eastAsia="Times New Roman" w:hAnsi="Times New Roman" w:cs="Times New Roman"/>
          <w:color w:val="000000"/>
          <w:sz w:val="24"/>
          <w:szCs w:val="24"/>
        </w:rPr>
        <w:tab/>
        <w:t xml:space="preserve"> </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- 4.1.1.10. «административно-управленческий персонал» (КВР 111);</w:t>
      </w:r>
    </w:p>
    <w:p w:rsidR="00653BE1" w:rsidRDefault="00946CB7">
      <w:pPr>
        <w:pBdr>
          <w:top w:val="nil"/>
          <w:left w:val="nil"/>
          <w:bottom w:val="nil"/>
          <w:right w:val="nil"/>
          <w:between w:val="nil"/>
        </w:pBdr>
        <w:tabs>
          <w:tab w:val="left" w:pos="6000"/>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- 4.1.1.11. «вспомогательный персонал» (КВР 111).</w:t>
      </w:r>
      <w:r>
        <w:rPr>
          <w:rFonts w:ascii="Times New Roman" w:eastAsia="Times New Roman" w:hAnsi="Times New Roman" w:cs="Times New Roman"/>
          <w:color w:val="000000"/>
          <w:sz w:val="24"/>
          <w:szCs w:val="24"/>
        </w:rPr>
        <w:tab/>
        <w:t xml:space="preserve"> </w:t>
      </w:r>
    </w:p>
    <w:p w:rsidR="00653BE1" w:rsidRDefault="00653BE1">
      <w:pPr>
        <w:pBdr>
          <w:top w:val="nil"/>
          <w:left w:val="nil"/>
          <w:bottom w:val="nil"/>
          <w:right w:val="nil"/>
          <w:between w:val="nil"/>
        </w:pBdr>
        <w:tabs>
          <w:tab w:val="left" w:pos="6000"/>
        </w:tabs>
        <w:spacing w:after="0"/>
        <w:ind w:firstLine="709"/>
        <w:jc w:val="both"/>
        <w:rPr>
          <w:rFonts w:ascii="Times New Roman" w:eastAsia="Times New Roman" w:hAnsi="Times New Roman" w:cs="Times New Roman"/>
          <w:color w:val="000000"/>
          <w:sz w:val="24"/>
          <w:szCs w:val="24"/>
        </w:rPr>
      </w:pP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Обращаем внимание, что по строкам 4.1.1.1. – 4.1.1.8.  раскрываются сведения при отнесении соответствующей категории к основному персоналу в учреждении, в противном случае данные свернуто представляются по одной из строк: прочий основной персонал (строка 4.1.1.9), вспомогательный персонал (строка 4.1.1.11) или административно-управленческий персонал (строка 4.1.1.10).</w:t>
      </w:r>
    </w:p>
    <w:p w:rsidR="00653BE1" w:rsidRDefault="00653BE1">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rsidR="00653BE1" w:rsidRDefault="00946CB7">
      <w:pPr>
        <w:numPr>
          <w:ilvl w:val="0"/>
          <w:numId w:val="1"/>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Строка 4.5 «Расходы на закупку товаров, работ и услуг» рассчитывается автоматически как сумма строк:</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- 4.5.1. «Коммунальные услуги» (КВР 244);</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- 4.5.2. «Работы, услуги по содержанию имущества» (КВР 244);</w:t>
      </w:r>
    </w:p>
    <w:p w:rsidR="00653BE1" w:rsidRDefault="00946CB7">
      <w:pPr>
        <w:pBdr>
          <w:top w:val="nil"/>
          <w:left w:val="nil"/>
          <w:bottom w:val="nil"/>
          <w:right w:val="nil"/>
          <w:between w:val="nil"/>
        </w:pBdr>
        <w:tabs>
          <w:tab w:val="left" w:pos="567"/>
          <w:tab w:val="left" w:pos="709"/>
          <w:tab w:val="left" w:pos="851"/>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- 4.5.3. «увеличение стоимости лекарственных препаратов и материалов, применяемых в медицинских целях» (КВР 244);</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- 4.5.4. «Прочие работы, услуги» (КВР 241, 243, 244, 245, 400).</w:t>
      </w:r>
    </w:p>
    <w:p w:rsidR="00653BE1" w:rsidRDefault="00946CB7">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Примечание: при этом по строке 4.5.4. «Прочие работы, услуги» указываются все прочие выплаты за исключением конкретизированных в строках 4.5.1.- 4.5.3. в целях обеспечения сопоставимости общей суммы расходов на закупку по строке 4.5 с принципами формирования соответствующей строки в рамках ПФХД.</w:t>
      </w:r>
    </w:p>
    <w:p w:rsidR="00653BE1" w:rsidRDefault="00946CB7">
      <w:pPr>
        <w:numPr>
          <w:ilvl w:val="0"/>
          <w:numId w:val="1"/>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строке 4.6. «Прочие выплаты, всего» приводятся выплаты, не предусмотренные к раскрытию в рамках строк 4.1. - 4.5. и 4.7. «выплаты по заемным средствам» в разрезе КФО.</w:t>
      </w:r>
    </w:p>
    <w:p w:rsidR="00653BE1" w:rsidRDefault="00653BE1">
      <w:pPr>
        <w:spacing w:after="0"/>
        <w:ind w:firstLine="709"/>
        <w:jc w:val="both"/>
        <w:rPr>
          <w:rFonts w:ascii="Times New Roman" w:eastAsia="Times New Roman" w:hAnsi="Times New Roman" w:cs="Times New Roman"/>
          <w:sz w:val="24"/>
          <w:szCs w:val="24"/>
          <w:u w:val="single"/>
        </w:rPr>
      </w:pPr>
    </w:p>
    <w:p w:rsidR="00653BE1" w:rsidRDefault="00946CB7">
      <w:pPr>
        <w:spacing w:after="0"/>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Важно:</w:t>
      </w:r>
    </w:p>
    <w:p w:rsidR="00653BE1" w:rsidRDefault="00946CB7">
      <w:pPr>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Обращаем внимание, что сбор данных в рамках мониторинга реализован в том числе с целью своевременного выявления учреждений, имеющих риски возникновения дефицита средств на конец 2020 года. Таким образом, отрицательный остаток по строке на конец периода по состоянию на 01.01.2021 года (прогноз) условно может рассматриваться как прогнозируемый учреждением дефицит средств по итогам 2020 года. Обоснование расчетного дефицита средств, указанного учреждением, может быть запрошено Учредителем дополнительно.</w:t>
      </w:r>
    </w:p>
    <w:p w:rsidR="00653BE1" w:rsidRDefault="00653B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333333"/>
          <w:sz w:val="24"/>
          <w:szCs w:val="24"/>
          <w:u w:val="single"/>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Таблица 2: Кредиторская задолженность.</w:t>
      </w:r>
    </w:p>
    <w:p w:rsidR="00653BE1" w:rsidRDefault="00653B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i/>
          <w:color w:val="333333"/>
          <w:sz w:val="24"/>
          <w:szCs w:val="24"/>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i/>
          <w:color w:val="333333"/>
          <w:sz w:val="24"/>
          <w:szCs w:val="24"/>
        </w:rPr>
      </w:pPr>
      <w:r>
        <w:rPr>
          <w:rFonts w:ascii="Times New Roman" w:eastAsia="Times New Roman" w:hAnsi="Times New Roman" w:cs="Times New Roman"/>
          <w:b/>
          <w:i/>
          <w:color w:val="333333"/>
          <w:sz w:val="24"/>
          <w:szCs w:val="24"/>
        </w:rPr>
        <w:t>Общие принципы заполнения данных по поступлениям и выплатам таблицы 2 мониторинга:</w:t>
      </w:r>
    </w:p>
    <w:p w:rsidR="00653BE1" w:rsidRDefault="00946CB7">
      <w:pPr>
        <w:numPr>
          <w:ilvl w:val="0"/>
          <w:numId w:val="3"/>
        </w:numPr>
        <w:pBdr>
          <w:top w:val="nil"/>
          <w:left w:val="nil"/>
          <w:bottom w:val="nil"/>
          <w:right w:val="nil"/>
          <w:between w:val="nil"/>
        </w:pBdr>
        <w:shd w:val="clear" w:color="auto" w:fill="FFFFFF"/>
        <w:spacing w:after="0" w:line="240" w:lineRule="auto"/>
        <w:ind w:left="0" w:firstLine="709"/>
        <w:jc w:val="both"/>
      </w:pPr>
      <w:r>
        <w:rPr>
          <w:rFonts w:ascii="Times New Roman" w:eastAsia="Times New Roman" w:hAnsi="Times New Roman" w:cs="Times New Roman"/>
          <w:color w:val="000000"/>
          <w:sz w:val="24"/>
          <w:szCs w:val="24"/>
        </w:rPr>
        <w:t>Данные заполняются на предусмотренные таблицей отчетные даты и в объеме прогнозируемой кредиторской задолженности по состоянию на 01.01.2021 г.</w:t>
      </w:r>
    </w:p>
    <w:p w:rsidR="00653BE1" w:rsidRDefault="00946CB7">
      <w:pPr>
        <w:numPr>
          <w:ilvl w:val="0"/>
          <w:numId w:val="3"/>
        </w:numPr>
        <w:pBdr>
          <w:top w:val="nil"/>
          <w:left w:val="nil"/>
          <w:bottom w:val="nil"/>
          <w:right w:val="nil"/>
          <w:between w:val="nil"/>
        </w:pBdr>
        <w:shd w:val="clear" w:color="auto" w:fill="FFFFFF"/>
        <w:spacing w:after="0" w:line="240" w:lineRule="auto"/>
        <w:ind w:left="0" w:firstLine="709"/>
        <w:jc w:val="both"/>
      </w:pPr>
      <w:r>
        <w:rPr>
          <w:rFonts w:ascii="Times New Roman" w:eastAsia="Times New Roman" w:hAnsi="Times New Roman" w:cs="Times New Roman"/>
          <w:color w:val="000000"/>
          <w:sz w:val="24"/>
          <w:szCs w:val="24"/>
        </w:rPr>
        <w:t>Данные приводятся в разрезе видов финансового обеспечения по КФО 2, 4, 5, 7.</w:t>
      </w:r>
    </w:p>
    <w:p w:rsidR="00653BE1" w:rsidRDefault="00946CB7">
      <w:pPr>
        <w:numPr>
          <w:ilvl w:val="0"/>
          <w:numId w:val="3"/>
        </w:numPr>
        <w:pBdr>
          <w:top w:val="nil"/>
          <w:left w:val="nil"/>
          <w:bottom w:val="nil"/>
          <w:right w:val="nil"/>
          <w:between w:val="nil"/>
        </w:pBdr>
        <w:shd w:val="clear" w:color="auto" w:fill="FFFFFF"/>
        <w:spacing w:after="0" w:line="240" w:lineRule="auto"/>
        <w:ind w:left="0" w:firstLine="709"/>
        <w:jc w:val="both"/>
      </w:pPr>
      <w:r>
        <w:rPr>
          <w:rFonts w:ascii="Times New Roman" w:eastAsia="Times New Roman" w:hAnsi="Times New Roman" w:cs="Times New Roman"/>
          <w:color w:val="000000"/>
          <w:sz w:val="24"/>
          <w:szCs w:val="24"/>
        </w:rPr>
        <w:t>Данные, предоставляемые учреждением по завершенным отчетным периодам, должны соответствовать сведениям, представленным по форме 0503769 (кредиторская задолженность) на соответствующую дату по соответствующему КФО.</w:t>
      </w:r>
    </w:p>
    <w:p w:rsidR="00653BE1" w:rsidRDefault="00946CB7">
      <w:pPr>
        <w:numPr>
          <w:ilvl w:val="0"/>
          <w:numId w:val="3"/>
        </w:numPr>
        <w:pBdr>
          <w:top w:val="nil"/>
          <w:left w:val="nil"/>
          <w:bottom w:val="nil"/>
          <w:right w:val="nil"/>
          <w:between w:val="nil"/>
        </w:pBdr>
        <w:shd w:val="clear" w:color="auto" w:fill="FFFFFF"/>
        <w:spacing w:after="0" w:line="240" w:lineRule="auto"/>
        <w:ind w:left="0" w:firstLine="709"/>
        <w:jc w:val="both"/>
      </w:pPr>
      <w:r>
        <w:rPr>
          <w:rFonts w:ascii="Times New Roman" w:eastAsia="Times New Roman" w:hAnsi="Times New Roman" w:cs="Times New Roman"/>
          <w:color w:val="000000"/>
          <w:sz w:val="24"/>
          <w:szCs w:val="24"/>
        </w:rPr>
        <w:t xml:space="preserve">Необходимо обеспечить соответствие фактических данных на отчетные даты, предоставляемые в таблице, данным формы 0503769 по соответствующим счетам, указанным по срокам 1.1. - 1.7. Счета прописаны в таблице по графе 1 «Наименование». </w:t>
      </w:r>
    </w:p>
    <w:p w:rsidR="00653BE1" w:rsidRDefault="00946CB7">
      <w:pPr>
        <w:numPr>
          <w:ilvl w:val="0"/>
          <w:numId w:val="3"/>
        </w:numPr>
        <w:pBdr>
          <w:top w:val="nil"/>
          <w:left w:val="nil"/>
          <w:bottom w:val="nil"/>
          <w:right w:val="nil"/>
          <w:between w:val="nil"/>
        </w:pBdr>
        <w:shd w:val="clear" w:color="auto" w:fill="FFFFFF"/>
        <w:spacing w:after="0" w:line="240" w:lineRule="auto"/>
        <w:ind w:left="0" w:firstLine="709"/>
        <w:jc w:val="both"/>
      </w:pPr>
      <w:r>
        <w:rPr>
          <w:rFonts w:ascii="Times New Roman" w:eastAsia="Times New Roman" w:hAnsi="Times New Roman" w:cs="Times New Roman"/>
          <w:color w:val="000000"/>
          <w:sz w:val="24"/>
          <w:szCs w:val="24"/>
        </w:rPr>
        <w:t xml:space="preserve">По строке 1.8. «Прочая кредиторская задолженность» приводятся сведения о полном объеме кредиторской задолженности за исключением раскрытых сведений по счетам, предусмотренным строками 1.1. - 1.7., так, чтобы обеспечивалось соответствие данных по строке 1 «Кредиторская задолженность на отчетную дату, всего» (рассчитываются в форме автоматически на основании заполненной структуры) общему объему кредиторской задолженности по форме 0503769 на соответствующую дату по соответствующему КФО. </w:t>
      </w:r>
    </w:p>
    <w:p w:rsidR="00653BE1" w:rsidRDefault="00946CB7">
      <w:pPr>
        <w:numPr>
          <w:ilvl w:val="0"/>
          <w:numId w:val="3"/>
        </w:numPr>
        <w:pBdr>
          <w:top w:val="nil"/>
          <w:left w:val="nil"/>
          <w:bottom w:val="nil"/>
          <w:right w:val="nil"/>
          <w:between w:val="nil"/>
        </w:pBdr>
        <w:shd w:val="clear" w:color="auto" w:fill="FFFFFF"/>
        <w:spacing w:after="0" w:line="240" w:lineRule="auto"/>
        <w:ind w:left="0" w:firstLine="709"/>
        <w:jc w:val="both"/>
      </w:pPr>
      <w:r>
        <w:rPr>
          <w:rFonts w:ascii="Times New Roman" w:eastAsia="Times New Roman" w:hAnsi="Times New Roman" w:cs="Times New Roman"/>
          <w:color w:val="000000"/>
          <w:sz w:val="24"/>
          <w:szCs w:val="24"/>
        </w:rPr>
        <w:t>Данные по строке 2 «Просроченная кредиторская задолженность на отчетную дату» приводятся в соответствии с представленными по форме 0503769 (кредиторская задолженность) по строке «Всего задолженность» гр.11 просроченная на соответствующую дату по соответствующему КФО.</w:t>
      </w:r>
    </w:p>
    <w:p w:rsidR="00653BE1" w:rsidRDefault="00946CB7">
      <w:pPr>
        <w:numPr>
          <w:ilvl w:val="0"/>
          <w:numId w:val="3"/>
        </w:numPr>
        <w:pBdr>
          <w:top w:val="nil"/>
          <w:left w:val="nil"/>
          <w:bottom w:val="nil"/>
          <w:right w:val="nil"/>
          <w:between w:val="nil"/>
        </w:pBdr>
        <w:shd w:val="clear" w:color="auto" w:fill="FFFFFF"/>
        <w:spacing w:after="0" w:line="240" w:lineRule="auto"/>
        <w:ind w:left="0" w:firstLine="709"/>
        <w:jc w:val="both"/>
      </w:pPr>
      <w:r>
        <w:rPr>
          <w:rFonts w:ascii="Times New Roman" w:eastAsia="Times New Roman" w:hAnsi="Times New Roman" w:cs="Times New Roman"/>
          <w:color w:val="000000"/>
          <w:sz w:val="24"/>
          <w:szCs w:val="24"/>
        </w:rPr>
        <w:t>Прогнозные данные приводятся в соответствии с прогнозируемым объемом кредиторской задолженности по итогам 2020 года в разрезе заявленных строк.</w:t>
      </w:r>
    </w:p>
    <w:p w:rsidR="00653BE1" w:rsidRDefault="00653BE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 xml:space="preserve">Таблица 3: Сведения о реализации мероприятий в соответствии с Методическими рекомендациями </w:t>
      </w:r>
      <w:bookmarkStart w:id="0" w:name="gjdgxs" w:colFirst="0" w:colLast="0"/>
      <w:bookmarkEnd w:id="0"/>
      <w:r>
        <w:rPr>
          <w:rFonts w:ascii="Times New Roman" w:eastAsia="Times New Roman" w:hAnsi="Times New Roman" w:cs="Times New Roman"/>
          <w:b/>
          <w:color w:val="333333"/>
          <w:sz w:val="24"/>
          <w:szCs w:val="24"/>
          <w:u w:val="single"/>
        </w:rPr>
        <w:t>по профилактике новой коронавирусной инфекции (COVID-19), утв. Федеральной службой по надзору в сфере защиты прав потребителей и благополучия человека</w:t>
      </w:r>
      <w:r w:rsidR="00D76863">
        <w:rPr>
          <w:rFonts w:ascii="Times New Roman" w:eastAsia="Times New Roman" w:hAnsi="Times New Roman" w:cs="Times New Roman"/>
          <w:b/>
          <w:color w:val="333333"/>
          <w:sz w:val="24"/>
          <w:szCs w:val="24"/>
          <w:u w:val="single"/>
        </w:rPr>
        <w:t xml:space="preserve"> (да</w:t>
      </w:r>
      <w:r w:rsidR="00D939E0">
        <w:rPr>
          <w:rFonts w:ascii="Times New Roman" w:eastAsia="Times New Roman" w:hAnsi="Times New Roman" w:cs="Times New Roman"/>
          <w:b/>
          <w:color w:val="333333"/>
          <w:sz w:val="24"/>
          <w:szCs w:val="24"/>
          <w:u w:val="single"/>
        </w:rPr>
        <w:t>лее – Методические рекомендации)</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 Таблице 3 «Сведения о реализации мероприятий в соответствии с Методическими рекомендациями по профилактике новой коронавирусной инфекции (COVID-19), утв. Федеральной службой по надзору в сфере защиты прав потребителей и благополучия человека» указываются сведения о </w:t>
      </w:r>
      <w:r>
        <w:rPr>
          <w:rFonts w:ascii="Times New Roman" w:eastAsia="Times New Roman" w:hAnsi="Times New Roman" w:cs="Times New Roman"/>
          <w:b/>
          <w:color w:val="333333"/>
          <w:sz w:val="24"/>
          <w:szCs w:val="24"/>
          <w:u w:val="single"/>
        </w:rPr>
        <w:t>дополнительных</w:t>
      </w:r>
      <w:r>
        <w:rPr>
          <w:rFonts w:ascii="Times New Roman" w:eastAsia="Times New Roman" w:hAnsi="Times New Roman" w:cs="Times New Roman"/>
          <w:color w:val="333333"/>
          <w:sz w:val="24"/>
          <w:szCs w:val="24"/>
        </w:rPr>
        <w:t xml:space="preserve"> объемах расходов, связанных с реализацией мероприятий по противодействию распространения новой коронавирусной инфекции.</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Таблица 3 предусматривает заполнение:</w:t>
      </w:r>
    </w:p>
    <w:p w:rsidR="00653BE1" w:rsidRDefault="00946CB7">
      <w:pPr>
        <w:numPr>
          <w:ilvl w:val="0"/>
          <w:numId w:val="2"/>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состоянию на 1 сентября 2020 г.;</w:t>
      </w:r>
    </w:p>
    <w:p w:rsidR="00653BE1" w:rsidRDefault="00946CB7">
      <w:pPr>
        <w:numPr>
          <w:ilvl w:val="0"/>
          <w:numId w:val="2"/>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 период сентябрь-декабрь 2020 г.</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Значения по графам 22-29 рассчитываются автоматически.</w:t>
      </w:r>
    </w:p>
    <w:p w:rsidR="00653BE1" w:rsidRDefault="00653B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p>
    <w:p w:rsidR="00653BE1" w:rsidRDefault="00653B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Детализация расходов Таблицы 3 произведена на основании перечня мероприятий, предусмотренн</w:t>
      </w:r>
      <w:r w:rsidR="00D939E0">
        <w:rPr>
          <w:rFonts w:ascii="Times New Roman" w:eastAsia="Times New Roman" w:hAnsi="Times New Roman" w:cs="Times New Roman"/>
          <w:color w:val="333333"/>
          <w:sz w:val="24"/>
          <w:szCs w:val="24"/>
        </w:rPr>
        <w:t xml:space="preserve">ых Методическими рекомендациями. </w:t>
      </w:r>
      <w:r>
        <w:rPr>
          <w:rFonts w:ascii="Times New Roman" w:eastAsia="Times New Roman" w:hAnsi="Times New Roman" w:cs="Times New Roman"/>
          <w:color w:val="333333"/>
          <w:sz w:val="24"/>
          <w:szCs w:val="24"/>
        </w:rPr>
        <w:t xml:space="preserve">В случае отсутствия в перечне мероприятий, подходящих к заполнению строк, предусмотрена возможность указания иных мероприятий/видов товаров </w:t>
      </w:r>
      <w:r>
        <w:rPr>
          <w:rFonts w:ascii="Times New Roman" w:eastAsia="Times New Roman" w:hAnsi="Times New Roman" w:cs="Times New Roman"/>
          <w:color w:val="FF0000"/>
          <w:sz w:val="24"/>
          <w:szCs w:val="24"/>
        </w:rPr>
        <w:t>путем выбора строки «Иные» с обязательной конкретизацией наименования мероприятия/товара (в произвольной формулировке).</w:t>
      </w:r>
    </w:p>
    <w:p w:rsidR="00653BE1" w:rsidRDefault="00946CB7">
      <w:pPr>
        <w:pBdr>
          <w:top w:val="nil"/>
          <w:left w:val="nil"/>
          <w:bottom w:val="nil"/>
          <w:right w:val="nil"/>
          <w:between w:val="nil"/>
        </w:pBdr>
        <w:spacing w:after="0"/>
        <w:ind w:firstLine="709"/>
        <w:jc w:val="both"/>
        <w:rPr>
          <w:rFonts w:ascii="Arial Narrow" w:eastAsia="Arial Narrow" w:hAnsi="Arial Narrow" w:cs="Arial Narrow"/>
          <w:color w:val="FF0000"/>
        </w:rPr>
      </w:pPr>
      <w:r>
        <w:rPr>
          <w:rFonts w:ascii="Times New Roman" w:eastAsia="Times New Roman" w:hAnsi="Times New Roman" w:cs="Times New Roman"/>
          <w:color w:val="FF0000"/>
          <w:sz w:val="24"/>
          <w:szCs w:val="24"/>
        </w:rPr>
        <w:t>При выборе дополнительной строки «Иные» по графам 2, 3 единицы измерения и КВР выбираются самостоятельно из выпадающего перечня</w:t>
      </w:r>
      <w:r>
        <w:rPr>
          <w:rFonts w:ascii="Arial Narrow" w:eastAsia="Arial Narrow" w:hAnsi="Arial Narrow" w:cs="Arial Narrow"/>
          <w:color w:val="FF0000"/>
        </w:rPr>
        <w:t xml:space="preserve">. Не строки, а отдельные формы! </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Мероприятия, раскрываемые по строкам 1.1. «Влажная уборка», 1.2. «Генеральная уборка», 1.3. «Дезинфекционные мероприятия» измеряются в количестве квадратных метров с учетом периодичности оказания услуг за отчетный период (кв. м. × периодичность ×  количество дней оказания услуги). Таким образом, учреждениям необходимо отразить только тот объем площадей с учетом периодичности оказания услуги за отчетный период, на который увеличен средний годовой объем площадей уборки при отсутствии дополнительной периодичности, установленной Методическими</w:t>
      </w:r>
      <w:r w:rsidR="009B7AEB">
        <w:rPr>
          <w:rFonts w:ascii="Times New Roman" w:eastAsia="Times New Roman" w:hAnsi="Times New Roman" w:cs="Times New Roman"/>
          <w:color w:val="333333"/>
          <w:sz w:val="24"/>
          <w:szCs w:val="24"/>
        </w:rPr>
        <w:t xml:space="preserve"> рекомендациями</w:t>
      </w:r>
      <w:r>
        <w:rPr>
          <w:rFonts w:ascii="Times New Roman" w:eastAsia="Times New Roman" w:hAnsi="Times New Roman" w:cs="Times New Roman"/>
          <w:color w:val="333333"/>
          <w:sz w:val="24"/>
          <w:szCs w:val="24"/>
        </w:rPr>
        <w:t xml:space="preserve">. </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случае, если учреждение осуществляет данные мероприятия за счет штатной численности, и/или присутствует необходимость отражения данных в иных единицах измерения, то в строке 1.4. «Иные» по графе 1 «Наименование иных мероприятий» необходимо конкретизировать направление расходов, выбрать соответствующий КВР из выпадающего перечня и заполнить необходимые сведения.</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графе 5 «Начисленный объем расходов по состоянию на 01 сентября 2020 г.» указывается весь начисленный объем расходов по приведенному перечню мероприятий суммарно по всем КФО.</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графе 14 «Планируемый к начислению объем расходов на период сентябрь-декабрь 2020 г.»  указывается весь объем расходов, планируемый к начислению за период сентябрь-декабрь 2020 г. по всем КФО.</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графам 7-12 «Кассовый объем расходов» указывается весь дополнительный объем расходов, направленных на реализацию мероприятий, которые удовлетворяют требованиям Методических рекомендаций по состоянию на 01.09.2020 г. в разрезе КФО.</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графам 16-21 «Планируемый объем кассовых расходов» указывается весь планируемый дополнительный объем расходов на реализацию мероприятий, которые удовлетворяют требованиям Методических рекомендаций на период сентябрь - декабрь 2020 г. в разрезе КФО.</w:t>
      </w:r>
    </w:p>
    <w:p w:rsidR="00653BE1" w:rsidRDefault="00653B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333333"/>
          <w:sz w:val="24"/>
          <w:szCs w:val="24"/>
          <w:u w:val="single"/>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Таблица 4: Сведения о количестве мест для приема на обучение по договорам об оказании платных образовательных услуг по образовательным программам высшего образования – программам бакалавриата, специалитета, магистратуры, аспирантуры, ординатуры, по программам ассистентуры-стажировки и объемах поступлений по договорам об оказании платных образовательных услуг</w:t>
      </w:r>
    </w:p>
    <w:p w:rsidR="00653BE1" w:rsidRDefault="00653B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Сведения в Таблице 4 предоставляются в разрезе образовательных программ (бакалавриат, специалитет, магистратура, аспирантура, ординатура, ассистентура-стажировка) и форм обучения (очная, очно-заочная, заочная форма обучения) по договорам об оказании платных образовательных услуг за 2019/2020 и 2020/2021 учебные года. </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графах 1-2, 9-10 Таблицы 4 отражается численность принятых на первый курс обучения студентов по договорам об оказании платных образовательных услуг.</w:t>
      </w:r>
    </w:p>
    <w:p w:rsidR="00653BE1" w:rsidRDefault="00946CB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Финансовые показатели в графах 3-8, 11-19 заполняются в рублях с точностью до двух знаков после запятой.  </w:t>
      </w:r>
    </w:p>
    <w:p w:rsidR="00653BE1" w:rsidRDefault="00946CB7">
      <w:pPr>
        <w:widowControl w:val="0"/>
        <w:spacing w:after="0" w:line="24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lastRenderedPageBreak/>
        <w:t xml:space="preserve">По графе 3 «Общий планируемый объем поступлений по фактически заключенным договорам» указывается расчетный объем средств, установленный к получению от студентов, поступивших на 1 курс в 2019 г. (графа 2), за 2019-2020 учебный год в соответствии с предусмотренной в рамках договора об оказании платных образовательных услуг стоимостью одного курса обучения. </w:t>
      </w:r>
      <w:r>
        <w:rPr>
          <w:rFonts w:ascii="Times New Roman" w:eastAsia="Times New Roman" w:hAnsi="Times New Roman" w:cs="Times New Roman"/>
          <w:sz w:val="24"/>
          <w:szCs w:val="24"/>
        </w:rPr>
        <w:t xml:space="preserve">В графах 4, 5 отражается фактический объем поступлений по заключенным в 2019 году договорам об оказании платных образовательных услуг на соответствующую отчетную дату (нарастающим итогом).  </w:t>
      </w:r>
    </w:p>
    <w:p w:rsidR="00653BE1" w:rsidRDefault="00946CB7">
      <w:pPr>
        <w:widowControl w:val="0"/>
        <w:spacing w:after="0" w:line="246" w:lineRule="auto"/>
        <w:ind w:firstLine="566"/>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По графам 6-8 аналогично указывается информация по фактически имеющимся договорам об оказании платных образовательных услуг в 2019 году со студентами второго и последующих курсов обучения за полный 2019/2020 учебный год.</w:t>
      </w:r>
    </w:p>
    <w:p w:rsidR="00653BE1" w:rsidRDefault="00946CB7">
      <w:pPr>
        <w:widowControl w:val="0"/>
        <w:spacing w:after="0" w:line="246" w:lineRule="auto"/>
        <w:ind w:firstLine="56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По графе 11 указывается расчетный объем средств, первоначально планируемый к получению за 2020-2021 учебный год, по договорам об оказании платных образовательных услуг при условии достижения в полном объеме плановых цифр приема в 2020 году (графа 9) по стоимости, которая могла бы быть установлена на 2020-2021 учебный год при отсутствии ограничений на повышение стоимости обучения. </w:t>
      </w:r>
    </w:p>
    <w:p w:rsidR="00653BE1" w:rsidRDefault="00946CB7">
      <w:pPr>
        <w:widowControl w:val="0"/>
        <w:spacing w:after="0" w:line="246" w:lineRule="auto"/>
        <w:ind w:firstLine="56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графе 12 указывается расчетный объем средств, планируемый к получению от студентов, поступивших на 1 курс в 2020 г. (графа 10), за 2020-2021 учебный год в соответствии с предусмотренной в рамках договора об оказании платных образовательных услуг стоимостью одного курса обучения с учетом ограничений на повышение стоимости обучения.</w:t>
      </w:r>
    </w:p>
    <w:p w:rsidR="00653BE1" w:rsidRDefault="00946CB7">
      <w:pPr>
        <w:widowControl w:val="0"/>
        <w:spacing w:after="0" w:line="246" w:lineRule="auto"/>
        <w:ind w:firstLine="56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Графы 13, 14 заполняются аналогично графам 4, 5 по студентам фактически поступившим в 2020 году (графа 10) на 1 курс обучения за 2020-2021 учебный год. </w:t>
      </w:r>
    </w:p>
    <w:p w:rsidR="00653BE1" w:rsidRDefault="00946CB7">
      <w:pPr>
        <w:widowControl w:val="0"/>
        <w:spacing w:after="0" w:line="24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Графа 15 «Недополученный доход по договорам об оказании платных образовательных услуг от студентов первого курса, в связи с ограничениями на повышение стоимости обучения на 2020/2021 учебный год и сокращением цифр приема» рассчитывается автоматически как разница между графами 12 и 11. Отрицательное значение демонстрирует объем недополученного дохода, положительное или нулевое значение – отсутствие недополученного дохода.</w:t>
      </w:r>
    </w:p>
    <w:p w:rsidR="00653BE1" w:rsidRDefault="00946CB7">
      <w:pPr>
        <w:widowControl w:val="0"/>
        <w:spacing w:after="0" w:line="24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Графы 16-18 заполняются аналогично графам 6-8 </w:t>
      </w:r>
      <w:r>
        <w:rPr>
          <w:rFonts w:ascii="Times New Roman" w:eastAsia="Times New Roman" w:hAnsi="Times New Roman" w:cs="Times New Roman"/>
          <w:sz w:val="24"/>
          <w:szCs w:val="24"/>
        </w:rPr>
        <w:t xml:space="preserve">по фактически имеющимся договорам об оказании платных образовательных услуг в 2020 году со студентами второго и последующих курсов обучения за полный 2020/2021 учебный год. </w:t>
      </w:r>
    </w:p>
    <w:p w:rsidR="00653BE1" w:rsidRDefault="00946CB7">
      <w:pPr>
        <w:widowControl w:val="0"/>
        <w:spacing w:after="0" w:line="24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графе 19 «Недополученный доход по договорам об оказании платных образовательных услуг от студентов второго и последующих курсов, в связи с введением ограничений на повышение стоимости обучения на 2020/2021 учебный год» учреждение указывает расчетную сумму выпадающего дохода по договорам об оказании платных образовательных услуг со студентами второго и последующих курсов, в связи с введением ограничений на повышение стоимости обучения на 2020/2021 учебный год.</w:t>
      </w:r>
    </w:p>
    <w:p w:rsidR="00653BE1" w:rsidRDefault="00946CB7">
      <w:pPr>
        <w:widowControl w:val="0"/>
        <w:spacing w:after="0" w:line="24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сумм недополученного дохода значения по графе 19 отражаются с отрицательным знаком.</w:t>
      </w:r>
    </w:p>
    <w:p w:rsidR="00653BE1" w:rsidRDefault="00653BE1">
      <w:pPr>
        <w:widowControl w:val="0"/>
        <w:spacing w:after="0" w:line="246" w:lineRule="auto"/>
        <w:ind w:firstLine="566"/>
        <w:jc w:val="both"/>
        <w:rPr>
          <w:rFonts w:ascii="Times New Roman" w:eastAsia="Times New Roman" w:hAnsi="Times New Roman" w:cs="Times New Roman"/>
          <w:sz w:val="24"/>
          <w:szCs w:val="24"/>
        </w:rPr>
      </w:pPr>
    </w:p>
    <w:p w:rsidR="00653BE1" w:rsidRDefault="00946CB7">
      <w:pPr>
        <w:spacing w:after="0"/>
        <w:ind w:firstLine="709"/>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Таблица 5: Сведения о субсидии на финансовое обеспечении стипендиальных выплат, количестве и структуре получателей стипендий (без учета субсидии на стипендиальное обеспечение стипендий Президента РФ и Правительства РФ)</w:t>
      </w:r>
    </w:p>
    <w:p w:rsidR="00653BE1" w:rsidRDefault="00653BE1">
      <w:pPr>
        <w:spacing w:after="0"/>
        <w:ind w:firstLine="709"/>
        <w:jc w:val="both"/>
        <w:rPr>
          <w:rFonts w:ascii="Times New Roman" w:eastAsia="Times New Roman" w:hAnsi="Times New Roman" w:cs="Times New Roman"/>
          <w:color w:val="333333"/>
          <w:sz w:val="24"/>
          <w:szCs w:val="24"/>
        </w:rPr>
      </w:pPr>
    </w:p>
    <w:p w:rsidR="00653BE1" w:rsidRDefault="00946CB7">
      <w:pP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Таблице 5 отражаются сведения о численности обучающихся получателей государственной социальной стипендии и материальной помощи, а также иных видов стипендий в рамках Субсидии бюджетным/автономным учреждениям на выплаты стипендий обучающимся (студентам, интернам, ординаторам, курсантам, адъюнктам, аспирантам и докторантам), а также осуществления выплат воспитанникам воинских частей.</w:t>
      </w:r>
    </w:p>
    <w:p w:rsidR="00653BE1" w:rsidRDefault="00946CB7">
      <w:pP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По графам 2-10 отражаются сведения за 2019 год, по графам 11-22 за 2020 год. </w:t>
      </w:r>
    </w:p>
    <w:p w:rsidR="00653BE1" w:rsidRDefault="00946CB7">
      <w:pP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графам 2, 11 отражаются объемы субсидии, выделенной учреждению в рамках соглашений в 2019 г. и 2020 г. соответственно, распределенные по направлениям расходования, в частности на выплаты государственной социальной стипендии, материальную поддержку и иные виды стипендий. Общие объемы субсидий по графам 2 и 11 по строке 1 должны соответствовать объемам, указанным в рамках Соглашений (с учетом заключенных дополнительных соглашений) по цели расходования «Субсидия бюджетным/автономным учреждениям на выплаты стипендий обучающимся (студентам, интернам, ординаторам, курсантам, адъюнктам, аспирантам и докторантам), а также осуществления выплат воспитанникам воинских частей».</w:t>
      </w:r>
    </w:p>
    <w:p w:rsidR="00653BE1" w:rsidRDefault="00946CB7">
      <w:pP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По графам 3, 6, 12, 15 отражается численность обучающихся уже получивших соответствующие выплаты в периодах, указанных в наименованиях соответствующих граф. По графе 18 отражается численность обучающихся уже получающих соответствующие выплаты и количество подавших документы, соответствующие условиям получения выплат, по прогнозным данным на сентябрь 2020 года. </w:t>
      </w:r>
    </w:p>
    <w:p w:rsidR="00653BE1" w:rsidRDefault="00946CB7">
      <w:pP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графам 4, 7, 9, 13, 16, указывается средняя численность получающих соответствующие виды выплат за отчетный период, рассчитанная путем суммирования численности по месяцам и делением на количество месяцев в отчетном периоде. Графы 18, 21 заполняются аналогично с учетом данных по прогнозным месяцам.</w:t>
      </w:r>
    </w:p>
    <w:p w:rsidR="00653BE1" w:rsidRDefault="00946CB7">
      <w:pPr>
        <w:spacing w:after="0"/>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графам 5, 8, 10, 14, 17 указывается общий фактический объем выплат за указанный в наименовании графы период за счет средств субсидии на выплаты стипендий обучающимся (студентам, интернам, ординаторам, курсантам, адъюнктам, аспирантам и докторантам), а также осуществления выплат воспитанникам воинских частей. В графах 20, 22 указываются аналогичные сведения с учетом планируемого объема выплат в прогнозируемых месяцах.</w:t>
      </w:r>
    </w:p>
    <w:p w:rsidR="00653BE1" w:rsidRDefault="00653BE1">
      <w:pPr>
        <w:widowControl w:val="0"/>
        <w:spacing w:after="0" w:line="246" w:lineRule="auto"/>
        <w:ind w:firstLine="566"/>
        <w:jc w:val="both"/>
        <w:rPr>
          <w:rFonts w:ascii="Times New Roman" w:eastAsia="Times New Roman" w:hAnsi="Times New Roman" w:cs="Times New Roman"/>
          <w:b/>
          <w:color w:val="333333"/>
          <w:sz w:val="24"/>
          <w:szCs w:val="24"/>
          <w:u w:val="single"/>
        </w:rPr>
      </w:pPr>
      <w:bookmarkStart w:id="1" w:name="_30j0zll" w:colFirst="0" w:colLast="0"/>
      <w:bookmarkEnd w:id="1"/>
    </w:p>
    <w:p w:rsidR="00653BE1" w:rsidRDefault="00946CB7">
      <w:pPr>
        <w:spacing w:after="0"/>
        <w:ind w:firstLine="709"/>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Таблица 6: Сведения о численности и заработной плате работников учреждения</w:t>
      </w:r>
    </w:p>
    <w:p w:rsidR="00653BE1" w:rsidRDefault="00653BE1">
      <w:pPr>
        <w:spacing w:after="0"/>
        <w:ind w:firstLine="709"/>
        <w:jc w:val="both"/>
        <w:rPr>
          <w:rFonts w:ascii="Times New Roman" w:eastAsia="Times New Roman" w:hAnsi="Times New Roman" w:cs="Times New Roman"/>
          <w:color w:val="000000"/>
          <w:sz w:val="24"/>
          <w:szCs w:val="24"/>
        </w:rPr>
      </w:pPr>
    </w:p>
    <w:p w:rsidR="00653BE1" w:rsidRDefault="00946CB7">
      <w:pPr>
        <w:spacing w:after="0"/>
        <w:ind w:firstLine="709"/>
        <w:jc w:val="both"/>
        <w:rPr>
          <w:rFonts w:ascii="Arial" w:eastAsia="Arial" w:hAnsi="Arial" w:cs="Arial"/>
          <w:color w:val="FF0000"/>
          <w:sz w:val="24"/>
          <w:szCs w:val="24"/>
          <w:shd w:val="clear" w:color="auto" w:fill="D8EDE8"/>
        </w:rPr>
      </w:pPr>
      <w:r>
        <w:rPr>
          <w:rFonts w:ascii="Times New Roman" w:eastAsia="Times New Roman" w:hAnsi="Times New Roman" w:cs="Times New Roman"/>
          <w:color w:val="000000"/>
          <w:sz w:val="24"/>
          <w:szCs w:val="24"/>
        </w:rPr>
        <w:t xml:space="preserve">Таблица предполагает заполнение сведений в разрезе головного учреждения и обособленных подразделений/филиалов, являющихся респондентами </w:t>
      </w:r>
      <w:r>
        <w:rPr>
          <w:rFonts w:ascii="Times New Roman" w:eastAsia="Times New Roman" w:hAnsi="Times New Roman" w:cs="Times New Roman"/>
          <w:color w:val="FF0000"/>
          <w:sz w:val="24"/>
          <w:szCs w:val="24"/>
        </w:rPr>
        <w:t>статистической формы отчетности «Сведения о численности и оплате труда работников» соответствующей сфер</w:t>
      </w:r>
      <w:r w:rsidR="009B7AEB">
        <w:rPr>
          <w:rFonts w:ascii="Times New Roman" w:eastAsia="Times New Roman" w:hAnsi="Times New Roman" w:cs="Times New Roman"/>
          <w:color w:val="FF0000"/>
          <w:sz w:val="24"/>
          <w:szCs w:val="24"/>
        </w:rPr>
        <w:t>ы деятельности (далее – форма).</w:t>
      </w:r>
      <w:bookmarkStart w:id="2" w:name="_GoBack"/>
      <w:bookmarkEnd w:id="2"/>
    </w:p>
    <w:p w:rsidR="00653BE1" w:rsidRDefault="00946CB7">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заполняются в отношении средней численности работников и фонда начисленной заработной платы по категориям в соответствии с подходами, установленными для заполнения аналогичных статистических форм отчетности.</w:t>
      </w:r>
    </w:p>
    <w:p w:rsidR="00653BE1" w:rsidRDefault="00946CB7">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Фонд начисленной заработной платы работников за отчетные периоды заполняется в рублях с точностью до двух знаков после запятой.</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Заполнению подлежат сведения по периодам:</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-январь-декабрь 2019 года;</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-январь-март 2020 года;</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-январь-август 2020 года;</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 январь-декабрь 2020 года.</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«Всего персонал» рассчитывается автоматически как сумма строк:</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«Основной персонал»;</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«Административно-управленческий персонал»;</w:t>
      </w:r>
    </w:p>
    <w:p w:rsidR="00653BE1" w:rsidRDefault="00946CB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«Вспомогательный персонал».</w:t>
      </w:r>
    </w:p>
    <w:p w:rsidR="00653BE1" w:rsidRDefault="00946CB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Строка «Основной персонал» рассчитывается автоматически как сумма структурных строк, при этом </w:t>
      </w:r>
      <w:r>
        <w:rPr>
          <w:rFonts w:ascii="Times New Roman" w:eastAsia="Times New Roman" w:hAnsi="Times New Roman" w:cs="Times New Roman"/>
          <w:b/>
          <w:sz w:val="24"/>
          <w:szCs w:val="24"/>
          <w:u w:val="single"/>
        </w:rPr>
        <w:t>важно</w:t>
      </w:r>
      <w:r>
        <w:rPr>
          <w:rFonts w:ascii="Times New Roman" w:eastAsia="Times New Roman" w:hAnsi="Times New Roman" w:cs="Times New Roman"/>
          <w:sz w:val="24"/>
          <w:szCs w:val="24"/>
        </w:rPr>
        <w:t xml:space="preserve"> отметить следующее:</w:t>
      </w:r>
    </w:p>
    <w:p w:rsidR="00653BE1" w:rsidRDefault="00946CB7">
      <w:pPr>
        <w:spacing w:after="0"/>
        <w:ind w:firstLine="709"/>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lastRenderedPageBreak/>
        <w:t>по строкам заявленных категорий персонала, представленных как в том числе из строки «Основной персонал», раскрываются сведения в том случае, если соответствующие категории относятся в учреждении к основному персоналу. В противном случае данные свернуто представляются по одной из строк: прочий основной персонал, вспомогательный персонал или административно-управленческий персонал.</w:t>
      </w:r>
    </w:p>
    <w:p w:rsidR="00653BE1" w:rsidRDefault="00946CB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Для периодов январь-декабрь 2019 года и январь-март 2020 года необходимо обеспечить соответствие данным </w:t>
      </w:r>
      <w:r>
        <w:rPr>
          <w:rFonts w:ascii="Times New Roman" w:eastAsia="Times New Roman" w:hAnsi="Times New Roman" w:cs="Times New Roman"/>
          <w:color w:val="FF0000"/>
          <w:sz w:val="24"/>
          <w:szCs w:val="24"/>
        </w:rPr>
        <w:t>форм статистической отчетности</w:t>
      </w:r>
      <w:r>
        <w:rPr>
          <w:rFonts w:ascii="Times New Roman" w:eastAsia="Times New Roman" w:hAnsi="Times New Roman" w:cs="Times New Roman"/>
          <w:color w:val="000000"/>
          <w:sz w:val="24"/>
          <w:szCs w:val="24"/>
        </w:rPr>
        <w:t xml:space="preserve"> </w:t>
      </w:r>
      <w:r w:rsidR="00D76863">
        <w:rPr>
          <w:rFonts w:ascii="Times New Roman" w:eastAsia="Times New Roman" w:hAnsi="Times New Roman" w:cs="Times New Roman"/>
          <w:color w:val="000000"/>
          <w:sz w:val="24"/>
          <w:szCs w:val="24"/>
        </w:rPr>
        <w:t>по аналогичным</w:t>
      </w:r>
      <w:r>
        <w:rPr>
          <w:rFonts w:ascii="Times New Roman" w:eastAsia="Times New Roman" w:hAnsi="Times New Roman" w:cs="Times New Roman"/>
          <w:color w:val="000000"/>
          <w:sz w:val="24"/>
          <w:szCs w:val="24"/>
        </w:rPr>
        <w:t xml:space="preserve"> строкам и по строке «всего работников» за соответствующий отчетный период. </w:t>
      </w:r>
    </w:p>
    <w:sectPr w:rsidR="00653BE1">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817" w:rsidRDefault="004B5817">
      <w:pPr>
        <w:spacing w:after="0" w:line="240" w:lineRule="auto"/>
      </w:pPr>
      <w:r>
        <w:separator/>
      </w:r>
    </w:p>
  </w:endnote>
  <w:endnote w:type="continuationSeparator" w:id="0">
    <w:p w:rsidR="004B5817" w:rsidRDefault="004B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BE1" w:rsidRDefault="00946CB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B0281">
      <w:rPr>
        <w:rFonts w:ascii="Times New Roman" w:eastAsia="Times New Roman" w:hAnsi="Times New Roman" w:cs="Times New Roman"/>
        <w:noProof/>
        <w:color w:val="000000"/>
      </w:rPr>
      <w:t>9</w:t>
    </w:r>
    <w:r>
      <w:rPr>
        <w:rFonts w:ascii="Times New Roman" w:eastAsia="Times New Roman" w:hAnsi="Times New Roman" w:cs="Times New Roman"/>
        <w:color w:val="000000"/>
      </w:rPr>
      <w:fldChar w:fldCharType="end"/>
    </w:r>
  </w:p>
  <w:p w:rsidR="00653BE1" w:rsidRDefault="00653BE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817" w:rsidRDefault="004B5817">
      <w:pPr>
        <w:spacing w:after="0" w:line="240" w:lineRule="auto"/>
      </w:pPr>
      <w:r>
        <w:separator/>
      </w:r>
    </w:p>
  </w:footnote>
  <w:footnote w:type="continuationSeparator" w:id="0">
    <w:p w:rsidR="004B5817" w:rsidRDefault="004B5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56BA"/>
    <w:multiLevelType w:val="multilevel"/>
    <w:tmpl w:val="E0C0D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F556E"/>
    <w:multiLevelType w:val="multilevel"/>
    <w:tmpl w:val="56160E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1A0358B"/>
    <w:multiLevelType w:val="multilevel"/>
    <w:tmpl w:val="9F3AFAF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4195F81"/>
    <w:multiLevelType w:val="multilevel"/>
    <w:tmpl w:val="2FC03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7A1761"/>
    <w:multiLevelType w:val="multilevel"/>
    <w:tmpl w:val="47C01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E1"/>
    <w:rsid w:val="002B0281"/>
    <w:rsid w:val="004B5817"/>
    <w:rsid w:val="00653BE1"/>
    <w:rsid w:val="00946CB7"/>
    <w:rsid w:val="009B7AEB"/>
    <w:rsid w:val="00D76863"/>
    <w:rsid w:val="00D9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AD917-6702-4514-A80C-EC1B22C1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paragraph" w:styleId="Quote">
    <w:name w:val="Quote"/>
    <w:basedOn w:val="Normal"/>
    <w:next w:val="Normal"/>
    <w:link w:val="QuoteChar"/>
    <w:uiPriority w:val="29"/>
    <w:qFormat/>
    <w:rsid w:val="00D939E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939E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3498</Words>
  <Characters>19940</Characters>
  <Application>Microsoft Office Word</Application>
  <DocSecurity>0</DocSecurity>
  <Lines>166</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Tikhonova</dc:creator>
  <cp:lastModifiedBy>Tikhonova</cp:lastModifiedBy>
  <cp:revision>2</cp:revision>
  <dcterms:created xsi:type="dcterms:W3CDTF">2020-09-12T12:14:00Z</dcterms:created>
  <dcterms:modified xsi:type="dcterms:W3CDTF">2020-09-12T12:14:00Z</dcterms:modified>
</cp:coreProperties>
</file>