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4C" w:rsidRDefault="00967D4C" w:rsidP="00967D4C">
      <w:pPr>
        <w:pStyle w:val="msonormalmailrucssattributepostfix"/>
      </w:pPr>
      <w:r>
        <w:t>При заполнении форм для сбора информации по выплатам руководителю возникло ряд вопросов:</w:t>
      </w:r>
    </w:p>
    <w:p w:rsidR="00967D4C" w:rsidRDefault="00967D4C" w:rsidP="00967D4C">
      <w:pPr>
        <w:pStyle w:val="msonormalmailrucssattributepostfix"/>
      </w:pPr>
      <w:r>
        <w:t xml:space="preserve">1.На основании данной информации будет ли учредителем рассматриваться выполнение предельного уровня соотношения среднемесячной заработной платы руководителя к среднемесячной заработной плате работников учреждения (без учета заработной платы руководителя, его заместителя и главного бухгалтера), установленного Постановлением Правительства РФ от 05.08.2008 № 583 (в ред. от 10.12.2016)? </w:t>
      </w:r>
    </w:p>
    <w:p w:rsidR="00967D4C" w:rsidRDefault="00967D4C" w:rsidP="00967D4C">
      <w:pPr>
        <w:pStyle w:val="msonormalmailrucssattributepostfix"/>
      </w:pPr>
      <w:r>
        <w:t>2.</w:t>
      </w:r>
      <w:r>
        <w:rPr>
          <w:b/>
          <w:bCs/>
        </w:rPr>
        <w:t xml:space="preserve">Если да, </w:t>
      </w:r>
      <w:proofErr w:type="gramStart"/>
      <w:r>
        <w:rPr>
          <w:b/>
          <w:bCs/>
        </w:rPr>
        <w:t>то</w:t>
      </w:r>
      <w:r>
        <w:t xml:space="preserve"> :</w:t>
      </w:r>
      <w:proofErr w:type="gramEnd"/>
    </w:p>
    <w:p w:rsidR="00967D4C" w:rsidRDefault="00967D4C" w:rsidP="00967D4C">
      <w:pPr>
        <w:pStyle w:val="msonormalmailrucssattributepostfix"/>
        <w:ind w:left="360"/>
      </w:pPr>
      <w:r>
        <w:t xml:space="preserve">2.1.  Среднемесячная  заработная плата работников учреждения  для расчета предельного уровня соотношения, в соответствии с  п. 20 Постановления Правительства от 24.12.2007 № 922 (ред. от 10.12.2016),  определяется путем деления суммы фактически начисленной заработной платы таких работников </w:t>
      </w:r>
      <w:r>
        <w:rPr>
          <w:b/>
          <w:bCs/>
        </w:rPr>
        <w:t xml:space="preserve">списочного состава </w:t>
      </w:r>
      <w:r>
        <w:t xml:space="preserve">на </w:t>
      </w:r>
      <w:r>
        <w:rPr>
          <w:b/>
          <w:bCs/>
        </w:rPr>
        <w:t>среднесписочную численность таких работников</w:t>
      </w:r>
      <w:r>
        <w:t xml:space="preserve"> за соответствующий календарный год и деления на 12. Таким образом по строкам «Всего работников» и «Всего работников (без учета руководителя, заместителей руководителя, главного бухгалтера, президента вуза)» в гр. 5 необходимо отобразить фонд начисленной заработной платы без учета фонда, приходящегося на внешних совместителей.  Однако из наименования </w:t>
      </w:r>
      <w:proofErr w:type="gramStart"/>
      <w:r>
        <w:t>самой  гр.</w:t>
      </w:r>
      <w:proofErr w:type="gramEnd"/>
      <w:r>
        <w:t xml:space="preserve"> 5 «Всего» и по смыслу таблицы должен указываться весь фонд начисленной заработной платы с внешними совместителями. Как быть?</w:t>
      </w:r>
    </w:p>
    <w:p w:rsidR="00967D4C" w:rsidRDefault="00967D4C" w:rsidP="00967D4C">
      <w:pPr>
        <w:pStyle w:val="msonormalmailrucssattributepostfix"/>
        <w:ind w:left="360"/>
      </w:pPr>
      <w:r>
        <w:t xml:space="preserve">2.2. Исходя из того же п.20 Постановления следует, что в среднемесячную заработную плату как работников учреждения в целом, так и руководителя не входят выплаты по договорам ГПХ, а по смыслу таблицы 1 они включаются в фонд начисленной заработной платы. Так же возникает вопрос как быть? </w:t>
      </w:r>
    </w:p>
    <w:p w:rsidR="00967D4C" w:rsidRDefault="00967D4C" w:rsidP="00967D4C">
      <w:pPr>
        <w:pStyle w:val="msonormalmailrucssattributepostfix"/>
        <w:ind w:left="360"/>
      </w:pPr>
      <w:r>
        <w:t>2.3. Табл. 2 предлагает увязать данные по форме ЗП-образование и гр.5  по строке «Всего работников» , и в случае если по строкам «Всего работников» и «Всего работников (без учета руководителя, заместителей руководителя, главного бухгалтера, президента вуза)» в гр. 5 , отразить сумму фактически начисленной заработной платы, определенную в соответствии с п.20 Постановления, то возникнет отклонение на сумму, приходящуюся на выплаты по договорам ГПХ, поскольку они учитываются  в фонде начисленной заработной платы для целей формы ЗП-образование.</w:t>
      </w:r>
    </w:p>
    <w:p w:rsidR="00967D4C" w:rsidRDefault="00967D4C">
      <w:pPr>
        <w:rPr>
          <w:rFonts w:ascii="Times New Roman" w:eastAsia="Times New Roman" w:hAnsi="Times New Roman" w:cs="Times New Roman"/>
          <w:sz w:val="24"/>
          <w:szCs w:val="24"/>
          <w:lang w:eastAsia="ru-RU"/>
        </w:rPr>
      </w:pPr>
      <w:bookmarkStart w:id="0" w:name="_GoBack"/>
      <w:bookmarkEnd w:id="0"/>
      <w:r>
        <w:br w:type="page"/>
      </w:r>
    </w:p>
    <w:p w:rsidR="001A378E" w:rsidRDefault="001A378E" w:rsidP="001A378E">
      <w:pPr>
        <w:pStyle w:val="msonormalmailrucssattributepostfix"/>
      </w:pPr>
      <w:r>
        <w:lastRenderedPageBreak/>
        <w:t>В соответствии с </w:t>
      </w:r>
      <w:r>
        <w:rPr>
          <w:sz w:val="27"/>
          <w:szCs w:val="27"/>
        </w:rPr>
        <w:t>Постановлением Правительства Российской Федерации от 24 декабря 2007 г. N 922 г. Москва "Об особенностях порядка исчисления средней заработной платы" (п.20) д</w:t>
      </w:r>
      <w:r>
        <w:t>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фондов, учреждений, предприятий (без учета заработной платы руководителя, заместителей руководителя, главного бухгалтера) в целях определения предельного уровня их соотношения среднемесячная заработная плата работников фондов, учреждений, предприятий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w:t>
      </w:r>
      <w:hyperlink r:id="rId4" w:tgtFrame="_blank" w:history="1">
        <w:r>
          <w:rPr>
            <w:rStyle w:val="a3"/>
            <w:u w:val="none"/>
          </w:rPr>
          <w:t>пунктом 2</w:t>
        </w:r>
      </w:hyperlink>
      <w:r>
        <w:t>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 </w:t>
      </w:r>
    </w:p>
    <w:p w:rsidR="001A378E" w:rsidRDefault="001A378E" w:rsidP="001A378E">
      <w:pPr>
        <w:pStyle w:val="msonormalmailrucssattributepostfix"/>
      </w:pPr>
    </w:p>
    <w:p w:rsidR="001A378E" w:rsidRDefault="001A378E" w:rsidP="001A378E">
      <w:pPr>
        <w:pStyle w:val="msonormalmailrucssattributepostfix"/>
      </w:pPr>
      <w:r>
        <w:t>Списочный состав работников регулируется в настоящее время 2-мя документами:</w:t>
      </w:r>
    </w:p>
    <w:p w:rsidR="001A378E" w:rsidRDefault="001A378E" w:rsidP="001A378E">
      <w:pPr>
        <w:pStyle w:val="msonormalmailrucssattributepostfix"/>
      </w:pPr>
      <w:r>
        <w:rPr>
          <w:rFonts w:ascii="Symbol" w:hAnsi="Symbol"/>
        </w:rPr>
        <w:t></w:t>
      </w:r>
      <w:r>
        <w:t xml:space="preserve"> </w:t>
      </w:r>
      <w:hyperlink r:id="rId5" w:tgtFrame="_blank" w:history="1">
        <w:r>
          <w:rPr>
            <w:rStyle w:val="a3"/>
            <w:bdr w:val="none" w:sz="0" w:space="0" w:color="auto" w:frame="1"/>
          </w:rPr>
          <w:t>Указаниями</w:t>
        </w:r>
      </w:hyperlink>
      <w:r>
        <w:rPr>
          <w:color w:val="000000"/>
        </w:rPr>
        <w:t xml:space="preserve"> </w:t>
      </w:r>
      <w:r>
        <w:rPr>
          <w:color w:val="000000"/>
        </w:rPr>
        <w:t>по заполнению форм, утверждёнными приказом Росстата от 26.10.2015 N 498;</w:t>
      </w:r>
    </w:p>
    <w:p w:rsidR="001A378E" w:rsidRDefault="001A378E" w:rsidP="001A378E">
      <w:pPr>
        <w:pStyle w:val="msonormalmailrucssattributepostfix"/>
      </w:pPr>
      <w:r>
        <w:rPr>
          <w:rFonts w:ascii="Symbol" w:hAnsi="Symbol"/>
        </w:rPr>
        <w:t></w:t>
      </w:r>
      <w:r>
        <w:t xml:space="preserve"> </w:t>
      </w:r>
      <w:hyperlink r:id="rId6" w:tgtFrame="_blank" w:history="1">
        <w:r>
          <w:rPr>
            <w:rStyle w:val="a3"/>
            <w:bdr w:val="none" w:sz="0" w:space="0" w:color="auto" w:frame="1"/>
          </w:rPr>
          <w:t>Инструкцией</w:t>
        </w:r>
      </w:hyperlink>
      <w:r>
        <w:rPr>
          <w:color w:val="000000"/>
        </w:rPr>
        <w:t>, которая утверждена Госкомстатом СССР еще в 1987 году N </w:t>
      </w:r>
      <w:r>
        <w:rPr>
          <w:color w:val="000000"/>
          <w:bdr w:val="none" w:sz="0" w:space="0" w:color="auto" w:frame="1"/>
        </w:rPr>
        <w:t>17-10-0370</w:t>
      </w:r>
      <w:r>
        <w:rPr>
          <w:color w:val="000000"/>
        </w:rPr>
        <w:t> (ред. от 20.04.1993). Положения этого документа применяются и в 2017 году в тех частях, что не расходятся с действующим </w:t>
      </w:r>
      <w:hyperlink r:id="rId7" w:tgtFrame="_blank" w:history="1">
        <w:r>
          <w:rPr>
            <w:rStyle w:val="a3"/>
            <w:bdr w:val="none" w:sz="0" w:space="0" w:color="auto" w:frame="1"/>
          </w:rPr>
          <w:t>Трудовым кодексом РФ</w:t>
        </w:r>
      </w:hyperlink>
      <w:r>
        <w:rPr>
          <w:color w:val="000000"/>
        </w:rPr>
        <w:t>.</w:t>
      </w:r>
    </w:p>
    <w:p w:rsidR="001A378E" w:rsidRDefault="001A378E" w:rsidP="001A378E">
      <w:pPr>
        <w:pStyle w:val="msonormalmailrucssattributepostfix"/>
      </w:pPr>
    </w:p>
    <w:p w:rsidR="001A378E" w:rsidRDefault="001A378E" w:rsidP="001A378E">
      <w:pPr>
        <w:pStyle w:val="msonormalmailrucssattributepostfix"/>
      </w:pPr>
      <w:r>
        <w:t>В соответствии с указаниями к заполнению формы П-4:</w:t>
      </w:r>
    </w:p>
    <w:p w:rsidR="001A378E" w:rsidRDefault="001A378E" w:rsidP="001A378E">
      <w:pPr>
        <w:pStyle w:val="msonormalmailrucssattributepostfix"/>
        <w:spacing w:line="350" w:lineRule="atLeast"/>
        <w:ind w:firstLine="547"/>
        <w:jc w:val="both"/>
      </w:pPr>
      <w:r>
        <w:rPr>
          <w:rStyle w:val="blkmailrucssattributepostfix"/>
        </w:rPr>
        <w:t>80. Не включаются в списочную численность работники:</w:t>
      </w:r>
    </w:p>
    <w:p w:rsidR="001A378E" w:rsidRDefault="001A378E" w:rsidP="001A378E">
      <w:pPr>
        <w:pStyle w:val="msonormalmailrucssattributepostfix"/>
        <w:spacing w:line="350" w:lineRule="atLeast"/>
        <w:ind w:firstLine="547"/>
        <w:jc w:val="both"/>
      </w:pPr>
      <w:r>
        <w:rPr>
          <w:rStyle w:val="blkmailrucssattributepostfix"/>
        </w:rPr>
        <w:t>а) принятые на работу по совместительству из других организаций;</w:t>
      </w:r>
    </w:p>
    <w:p w:rsidR="001A378E" w:rsidRDefault="001A378E" w:rsidP="001A378E">
      <w:pPr>
        <w:pStyle w:val="msonormalmailrucssattributepostfix"/>
        <w:spacing w:line="350" w:lineRule="atLeast"/>
        <w:ind w:firstLine="547"/>
        <w:jc w:val="both"/>
      </w:pPr>
      <w:r>
        <w:rPr>
          <w:rStyle w:val="blkmailrucssattributepostfix"/>
        </w:rPr>
        <w:t>Учет внешних совместителей ведется отдельно.</w:t>
      </w:r>
    </w:p>
    <w:p w:rsidR="001A378E" w:rsidRDefault="001A378E" w:rsidP="001A378E">
      <w:pPr>
        <w:pStyle w:val="msonormalmailrucssattributepostfix"/>
        <w:spacing w:line="350" w:lineRule="atLeast"/>
        <w:ind w:firstLine="547"/>
        <w:jc w:val="both"/>
      </w:pPr>
      <w:r>
        <w:rPr>
          <w:rStyle w:val="blkmailrucssattributepostfix"/>
        </w:rPr>
        <w:t xml:space="preserve">Примечание.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w:t>
      </w:r>
      <w:r>
        <w:rPr>
          <w:rStyle w:val="blkmailrucssattributepostfix"/>
        </w:rPr>
        <w:lastRenderedPageBreak/>
        <w:t>а в фонде заработной платы показывается сумма заработной платы с учетом оплаты труда по совместительству;</w:t>
      </w:r>
    </w:p>
    <w:p w:rsidR="001A378E" w:rsidRDefault="001A378E" w:rsidP="001A378E">
      <w:pPr>
        <w:pStyle w:val="msonormalmailrucssattributepostfix"/>
      </w:pPr>
      <w:r>
        <w:t> </w:t>
      </w:r>
    </w:p>
    <w:p w:rsidR="001A378E" w:rsidRDefault="001A378E" w:rsidP="001A378E">
      <w:pPr>
        <w:pStyle w:val="msonormalmailrucssattributepostfix"/>
      </w:pPr>
      <w:r>
        <w:t>Аналогичные указания содержатся в Инструкции:</w:t>
      </w:r>
    </w:p>
    <w:p w:rsidR="001A378E" w:rsidRDefault="001A378E" w:rsidP="001A378E">
      <w:pPr>
        <w:pStyle w:val="msonormalmailrucssattributepostfix"/>
        <w:spacing w:line="290" w:lineRule="atLeast"/>
        <w:ind w:firstLine="547"/>
        <w:jc w:val="both"/>
      </w:pPr>
      <w:r>
        <w:rPr>
          <w:rStyle w:val="blkmailrucssattributepostfix"/>
        </w:rPr>
        <w:t>10. Не включаются в списочный состав работники:</w:t>
      </w:r>
    </w:p>
    <w:p w:rsidR="001A378E" w:rsidRDefault="001A378E" w:rsidP="001A378E">
      <w:pPr>
        <w:pStyle w:val="msonormalmailrucssattributepostfix"/>
        <w:spacing w:line="290" w:lineRule="atLeast"/>
        <w:ind w:firstLine="547"/>
        <w:jc w:val="both"/>
      </w:pPr>
      <w:bookmarkStart w:id="1" w:name="dst100070"/>
      <w:bookmarkEnd w:id="1"/>
      <w:r>
        <w:rPr>
          <w:rStyle w:val="blkmailrucssattributepostfix"/>
        </w:rPr>
        <w:t>10.1. не состоящие в штате данного предприятия, привлеченные для выполнения работ по трудовому соглашению: разовых специальных работ (консультации врачей в медицинских учреждениях, выступления артистов, работы по экспертизе и т.д.), разовых хозяйственных работ (ремонт инвентаря, побелка и покраска и т.п.);</w:t>
      </w:r>
    </w:p>
    <w:p w:rsidR="001A378E" w:rsidRDefault="001A378E" w:rsidP="001A378E">
      <w:pPr>
        <w:pStyle w:val="msonormalmailrucssattributepostfix"/>
        <w:spacing w:line="290" w:lineRule="atLeast"/>
        <w:ind w:firstLine="547"/>
        <w:jc w:val="both"/>
      </w:pPr>
      <w:bookmarkStart w:id="2" w:name="dst100071"/>
      <w:bookmarkEnd w:id="2"/>
      <w:r>
        <w:rPr>
          <w:rStyle w:val="blkmailrucssattributepostfix"/>
        </w:rPr>
        <w:t>10.2. принятые на работу по совместительству из других предприятий и состоящие в особом списке совместителей.</w:t>
      </w:r>
    </w:p>
    <w:p w:rsidR="001A378E" w:rsidRDefault="001A378E" w:rsidP="001A378E">
      <w:pPr>
        <w:pStyle w:val="msonormalmailrucssattributepostfix"/>
        <w:spacing w:line="290" w:lineRule="atLeast"/>
        <w:ind w:firstLine="547"/>
        <w:jc w:val="both"/>
      </w:pPr>
      <w:bookmarkStart w:id="3" w:name="dst100072"/>
      <w:bookmarkEnd w:id="3"/>
      <w:r>
        <w:rPr>
          <w:rStyle w:val="blkmailrucssattributepostfix"/>
        </w:rPr>
        <w:t>Примечание. Работник, получающий в одном предприятии две, полторы или менее одной ставки или оформленный в одном предприятии как внутренний совместитель, учитывается в списочной и среднесписочной численности работников как один человек (целая единица);</w:t>
      </w:r>
    </w:p>
    <w:p w:rsidR="001A378E" w:rsidRDefault="001A378E" w:rsidP="001A378E">
      <w:pPr>
        <w:pStyle w:val="msonormalmailrucssattributepostfix"/>
      </w:pPr>
      <w:r>
        <w:t> </w:t>
      </w:r>
    </w:p>
    <w:p w:rsidR="001A378E" w:rsidRDefault="001A378E" w:rsidP="001A378E">
      <w:pPr>
        <w:pStyle w:val="msonormalmailrucssattributepostfix"/>
      </w:pPr>
      <w:r>
        <w:t>Таким образом, для расчета средней заработной платы работников в целях определения кратности должна использоваться заработная плата работников без учета внешних совместителей. </w:t>
      </w:r>
    </w:p>
    <w:p w:rsidR="001A378E" w:rsidRDefault="001A378E" w:rsidP="001A378E">
      <w:pPr>
        <w:pStyle w:val="msonormalmailrucssattributepostfix"/>
        <w:spacing w:after="240" w:afterAutospacing="0"/>
      </w:pPr>
      <w:r>
        <w:t xml:space="preserve">Соответственно, для сравнения необходимо брать ЗП основных из формы ЗП-образование. Расхождения, связанные с договорами ГПХ и </w:t>
      </w:r>
      <w:proofErr w:type="gramStart"/>
      <w:r>
        <w:t>иными факторами</w:t>
      </w:r>
      <w:proofErr w:type="gramEnd"/>
      <w:r>
        <w:t xml:space="preserve"> могут быть пояснены в соответствующих графах</w:t>
      </w:r>
      <w:r w:rsidR="00BF2D36">
        <w:t>.</w:t>
      </w:r>
    </w:p>
    <w:p w:rsidR="00B50F90" w:rsidRDefault="00B50F90"/>
    <w:sectPr w:rsidR="00B50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E"/>
    <w:rsid w:val="001A378E"/>
    <w:rsid w:val="00967D4C"/>
    <w:rsid w:val="00B50F90"/>
    <w:rsid w:val="00BF2D36"/>
    <w:rsid w:val="00E9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F597B-EE65-424E-A66E-F0C4DB6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1A3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378E"/>
    <w:rPr>
      <w:color w:val="0000FF"/>
      <w:u w:val="single"/>
    </w:rPr>
  </w:style>
  <w:style w:type="character" w:customStyle="1" w:styleId="blkmailrucssattributepostfix">
    <w:name w:val="blk_mailru_css_attribute_postfix"/>
    <w:basedOn w:val="a0"/>
    <w:rsid w:val="001A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937">
      <w:bodyDiv w:val="1"/>
      <w:marLeft w:val="0"/>
      <w:marRight w:val="0"/>
      <w:marTop w:val="0"/>
      <w:marBottom w:val="0"/>
      <w:divBdr>
        <w:top w:val="none" w:sz="0" w:space="0" w:color="auto"/>
        <w:left w:val="none" w:sz="0" w:space="0" w:color="auto"/>
        <w:bottom w:val="none" w:sz="0" w:space="0" w:color="auto"/>
        <w:right w:val="none" w:sz="0" w:space="0" w:color="auto"/>
      </w:divBdr>
    </w:div>
    <w:div w:id="103967000">
      <w:bodyDiv w:val="1"/>
      <w:marLeft w:val="0"/>
      <w:marRight w:val="0"/>
      <w:marTop w:val="0"/>
      <w:marBottom w:val="0"/>
      <w:divBdr>
        <w:top w:val="none" w:sz="0" w:space="0" w:color="auto"/>
        <w:left w:val="none" w:sz="0" w:space="0" w:color="auto"/>
        <w:bottom w:val="none" w:sz="0" w:space="0" w:color="auto"/>
        <w:right w:val="none" w:sz="0" w:space="0" w:color="auto"/>
      </w:divBdr>
      <w:divsChild>
        <w:div w:id="856501376">
          <w:marLeft w:val="0"/>
          <w:marRight w:val="0"/>
          <w:marTop w:val="0"/>
          <w:marBottom w:val="0"/>
          <w:divBdr>
            <w:top w:val="none" w:sz="0" w:space="0" w:color="auto"/>
            <w:left w:val="none" w:sz="0" w:space="0" w:color="auto"/>
            <w:bottom w:val="none" w:sz="0" w:space="0" w:color="auto"/>
            <w:right w:val="none" w:sz="0" w:space="0" w:color="auto"/>
          </w:divBdr>
        </w:div>
        <w:div w:id="1174954780">
          <w:marLeft w:val="0"/>
          <w:marRight w:val="0"/>
          <w:marTop w:val="0"/>
          <w:marBottom w:val="0"/>
          <w:divBdr>
            <w:top w:val="none" w:sz="0" w:space="0" w:color="auto"/>
            <w:left w:val="none" w:sz="0" w:space="0" w:color="auto"/>
            <w:bottom w:val="none" w:sz="0" w:space="0" w:color="auto"/>
            <w:right w:val="none" w:sz="0" w:space="0" w:color="auto"/>
          </w:divBdr>
        </w:div>
        <w:div w:id="1018390313">
          <w:marLeft w:val="0"/>
          <w:marRight w:val="0"/>
          <w:marTop w:val="0"/>
          <w:marBottom w:val="0"/>
          <w:divBdr>
            <w:top w:val="none" w:sz="0" w:space="0" w:color="auto"/>
            <w:left w:val="none" w:sz="0" w:space="0" w:color="auto"/>
            <w:bottom w:val="none" w:sz="0" w:space="0" w:color="auto"/>
            <w:right w:val="none" w:sz="0" w:space="0" w:color="auto"/>
          </w:divBdr>
        </w:div>
        <w:div w:id="1007051346">
          <w:marLeft w:val="0"/>
          <w:marRight w:val="0"/>
          <w:marTop w:val="0"/>
          <w:marBottom w:val="0"/>
          <w:divBdr>
            <w:top w:val="none" w:sz="0" w:space="0" w:color="auto"/>
            <w:left w:val="none" w:sz="0" w:space="0" w:color="auto"/>
            <w:bottom w:val="none" w:sz="0" w:space="0" w:color="auto"/>
            <w:right w:val="none" w:sz="0" w:space="0" w:color="auto"/>
          </w:divBdr>
          <w:divsChild>
            <w:div w:id="624968014">
              <w:marLeft w:val="0"/>
              <w:marRight w:val="0"/>
              <w:marTop w:val="0"/>
              <w:marBottom w:val="0"/>
              <w:divBdr>
                <w:top w:val="none" w:sz="0" w:space="0" w:color="auto"/>
                <w:left w:val="none" w:sz="0" w:space="0" w:color="auto"/>
                <w:bottom w:val="none" w:sz="0" w:space="0" w:color="auto"/>
                <w:right w:val="none" w:sz="0" w:space="0" w:color="auto"/>
              </w:divBdr>
            </w:div>
            <w:div w:id="1438602062">
              <w:marLeft w:val="0"/>
              <w:marRight w:val="0"/>
              <w:marTop w:val="0"/>
              <w:marBottom w:val="0"/>
              <w:divBdr>
                <w:top w:val="none" w:sz="0" w:space="0" w:color="auto"/>
                <w:left w:val="none" w:sz="0" w:space="0" w:color="auto"/>
                <w:bottom w:val="none" w:sz="0" w:space="0" w:color="auto"/>
                <w:right w:val="none" w:sz="0" w:space="0" w:color="auto"/>
              </w:divBdr>
            </w:div>
            <w:div w:id="1950548408">
              <w:marLeft w:val="0"/>
              <w:marRight w:val="0"/>
              <w:marTop w:val="0"/>
              <w:marBottom w:val="0"/>
              <w:divBdr>
                <w:top w:val="none" w:sz="0" w:space="0" w:color="auto"/>
                <w:left w:val="none" w:sz="0" w:space="0" w:color="auto"/>
                <w:bottom w:val="none" w:sz="0" w:space="0" w:color="auto"/>
                <w:right w:val="none" w:sz="0" w:space="0" w:color="auto"/>
              </w:divBdr>
            </w:div>
            <w:div w:id="86779465">
              <w:marLeft w:val="0"/>
              <w:marRight w:val="0"/>
              <w:marTop w:val="0"/>
              <w:marBottom w:val="0"/>
              <w:divBdr>
                <w:top w:val="none" w:sz="0" w:space="0" w:color="auto"/>
                <w:left w:val="none" w:sz="0" w:space="0" w:color="auto"/>
                <w:bottom w:val="none" w:sz="0" w:space="0" w:color="auto"/>
                <w:right w:val="none" w:sz="0" w:space="0" w:color="auto"/>
              </w:divBdr>
            </w:div>
            <w:div w:id="1280724953">
              <w:marLeft w:val="0"/>
              <w:marRight w:val="0"/>
              <w:marTop w:val="0"/>
              <w:marBottom w:val="0"/>
              <w:divBdr>
                <w:top w:val="none" w:sz="0" w:space="0" w:color="auto"/>
                <w:left w:val="none" w:sz="0" w:space="0" w:color="auto"/>
                <w:bottom w:val="none" w:sz="0" w:space="0" w:color="auto"/>
                <w:right w:val="none" w:sz="0" w:space="0" w:color="auto"/>
              </w:divBdr>
            </w:div>
            <w:div w:id="254092265">
              <w:marLeft w:val="0"/>
              <w:marRight w:val="0"/>
              <w:marTop w:val="0"/>
              <w:marBottom w:val="0"/>
              <w:divBdr>
                <w:top w:val="none" w:sz="0" w:space="0" w:color="auto"/>
                <w:left w:val="none" w:sz="0" w:space="0" w:color="auto"/>
                <w:bottom w:val="none" w:sz="0" w:space="0" w:color="auto"/>
                <w:right w:val="none" w:sz="0" w:space="0" w:color="auto"/>
              </w:divBdr>
              <w:divsChild>
                <w:div w:id="1320497437">
                  <w:marLeft w:val="0"/>
                  <w:marRight w:val="0"/>
                  <w:marTop w:val="120"/>
                  <w:marBottom w:val="0"/>
                  <w:divBdr>
                    <w:top w:val="none" w:sz="0" w:space="0" w:color="auto"/>
                    <w:left w:val="none" w:sz="0" w:space="0" w:color="auto"/>
                    <w:bottom w:val="none" w:sz="0" w:space="0" w:color="auto"/>
                    <w:right w:val="none" w:sz="0" w:space="0" w:color="auto"/>
                  </w:divBdr>
                </w:div>
                <w:div w:id="1162888114">
                  <w:marLeft w:val="0"/>
                  <w:marRight w:val="0"/>
                  <w:marTop w:val="120"/>
                  <w:marBottom w:val="0"/>
                  <w:divBdr>
                    <w:top w:val="none" w:sz="0" w:space="0" w:color="auto"/>
                    <w:left w:val="none" w:sz="0" w:space="0" w:color="auto"/>
                    <w:bottom w:val="none" w:sz="0" w:space="0" w:color="auto"/>
                    <w:right w:val="none" w:sz="0" w:space="0" w:color="auto"/>
                  </w:divBdr>
                </w:div>
                <w:div w:id="249895985">
                  <w:marLeft w:val="0"/>
                  <w:marRight w:val="0"/>
                  <w:marTop w:val="120"/>
                  <w:marBottom w:val="0"/>
                  <w:divBdr>
                    <w:top w:val="none" w:sz="0" w:space="0" w:color="auto"/>
                    <w:left w:val="none" w:sz="0" w:space="0" w:color="auto"/>
                    <w:bottom w:val="none" w:sz="0" w:space="0" w:color="auto"/>
                    <w:right w:val="none" w:sz="0" w:space="0" w:color="auto"/>
                  </w:divBdr>
                </w:div>
                <w:div w:id="582841309">
                  <w:marLeft w:val="0"/>
                  <w:marRight w:val="0"/>
                  <w:marTop w:val="120"/>
                  <w:marBottom w:val="0"/>
                  <w:divBdr>
                    <w:top w:val="none" w:sz="0" w:space="0" w:color="auto"/>
                    <w:left w:val="none" w:sz="0" w:space="0" w:color="auto"/>
                    <w:bottom w:val="none" w:sz="0" w:space="0" w:color="auto"/>
                    <w:right w:val="none" w:sz="0" w:space="0" w:color="auto"/>
                  </w:divBdr>
                </w:div>
              </w:divsChild>
            </w:div>
            <w:div w:id="870843445">
              <w:marLeft w:val="0"/>
              <w:marRight w:val="0"/>
              <w:marTop w:val="0"/>
              <w:marBottom w:val="0"/>
              <w:divBdr>
                <w:top w:val="none" w:sz="0" w:space="0" w:color="auto"/>
                <w:left w:val="none" w:sz="0" w:space="0" w:color="auto"/>
                <w:bottom w:val="none" w:sz="0" w:space="0" w:color="auto"/>
                <w:right w:val="none" w:sz="0" w:space="0" w:color="auto"/>
              </w:divBdr>
            </w:div>
            <w:div w:id="1755661295">
              <w:marLeft w:val="0"/>
              <w:marRight w:val="0"/>
              <w:marTop w:val="0"/>
              <w:marBottom w:val="0"/>
              <w:divBdr>
                <w:top w:val="none" w:sz="0" w:space="0" w:color="auto"/>
                <w:left w:val="none" w:sz="0" w:space="0" w:color="auto"/>
                <w:bottom w:val="none" w:sz="0" w:space="0" w:color="auto"/>
                <w:right w:val="none" w:sz="0" w:space="0" w:color="auto"/>
              </w:divBdr>
            </w:div>
            <w:div w:id="857743971">
              <w:marLeft w:val="0"/>
              <w:marRight w:val="0"/>
              <w:marTop w:val="0"/>
              <w:marBottom w:val="0"/>
              <w:divBdr>
                <w:top w:val="none" w:sz="0" w:space="0" w:color="auto"/>
                <w:left w:val="none" w:sz="0" w:space="0" w:color="auto"/>
                <w:bottom w:val="none" w:sz="0" w:space="0" w:color="auto"/>
                <w:right w:val="none" w:sz="0" w:space="0" w:color="auto"/>
              </w:divBdr>
            </w:div>
            <w:div w:id="987902416">
              <w:marLeft w:val="0"/>
              <w:marRight w:val="0"/>
              <w:marTop w:val="0"/>
              <w:marBottom w:val="0"/>
              <w:divBdr>
                <w:top w:val="none" w:sz="0" w:space="0" w:color="auto"/>
                <w:left w:val="none" w:sz="0" w:space="0" w:color="auto"/>
                <w:bottom w:val="none" w:sz="0" w:space="0" w:color="auto"/>
                <w:right w:val="none" w:sz="0" w:space="0" w:color="auto"/>
              </w:divBdr>
            </w:div>
            <w:div w:id="399325202">
              <w:marLeft w:val="0"/>
              <w:marRight w:val="0"/>
              <w:marTop w:val="0"/>
              <w:marBottom w:val="0"/>
              <w:divBdr>
                <w:top w:val="none" w:sz="0" w:space="0" w:color="auto"/>
                <w:left w:val="none" w:sz="0" w:space="0" w:color="auto"/>
                <w:bottom w:val="none" w:sz="0" w:space="0" w:color="auto"/>
                <w:right w:val="none" w:sz="0" w:space="0" w:color="auto"/>
              </w:divBdr>
            </w:div>
            <w:div w:id="3355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ail.ru/cgi-bin/link?check=1&amp;refresh=1&amp;cnf=0e127a&amp;url=http%3A%2F%2Fconsultant.ru%2Fcons%2Fcgi%2Fonline.cgi%3Freq%3Ddoc%26base%3DLAW%26n%3D201079%26div%3DLAW%26dst%3D100003%252C0%26rnd%3D0.2696649496118796&amp;msgid=15137660670000001007;0;1&amp;x-email=elena1703%40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ail.ru/cgi-bin/link?check=1&amp;refresh=1&amp;cnf=64089d&amp;url=http%3A%2F%2Fwww.consultant.ru%2Fcons%2Fcgi%2Fonline.cgi%3Freq%3Ddoc%26base%3DLAW%26n%3D11%26div%3DLAW%26dst%3D100002%252C0%26rnd%3D0.8278137447851642&amp;msgid=15137660670000001007;0;1&amp;x-email=elena1703%40mail.ru" TargetMode="External"/><Relationship Id="rId5" Type="http://schemas.openxmlformats.org/officeDocument/2006/relationships/hyperlink" Target="https://e.mail.ru/cgi-bin/link?check=1&amp;refresh=1&amp;cnf=1ddf51&amp;url=http%3A%2F%2Fwww.consultant.ru%2Fcons%2Fcgi%2Fonline.cgi%3Freq%3Ddoc%26base%3DLAW%26n%3D206638%26div%3DLAW%26dst%3D100012%252C0%26rnd%3D0.7234805667350347&amp;msgid=15137660670000001007;0;1&amp;x-email=elena1703%40mail.ru" TargetMode="External"/><Relationship Id="rId4" Type="http://schemas.openxmlformats.org/officeDocument/2006/relationships/hyperlink" Target="https://e.mail.ru/cgi-bin/link?check=1&amp;refresh=1&amp;cnf=9c62f8&amp;url=http%3A%2F%2Fwww.consultant.ru%2Fdocument%2Fcons_doc_LAW_73789%2F00737bae76cc5b4913b4eaf35b39060ca04b85be%2F%23dst100012&amp;msgid=15137660670000001007;0;1&amp;x-email=elena1703%40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Tikhonova</dc:creator>
  <cp:keywords/>
  <dc:description/>
  <cp:lastModifiedBy>Tikhonova</cp:lastModifiedBy>
  <cp:revision>2</cp:revision>
  <dcterms:created xsi:type="dcterms:W3CDTF">2017-12-20T10:42:00Z</dcterms:created>
  <dcterms:modified xsi:type="dcterms:W3CDTF">2017-12-20T11:13:00Z</dcterms:modified>
</cp:coreProperties>
</file>