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95" w:rsidRDefault="005833D4" w:rsidP="005833D4">
      <w:r>
        <w:fldChar w:fldCharType="begin"/>
      </w:r>
      <w:r>
        <w:instrText xml:space="preserve"> HYPERLINK "</w:instrText>
      </w:r>
      <w:r w:rsidRPr="005833D4">
        <w:instrText>http://minfin.ru/ru/document/?id_4=69453</w:instrText>
      </w:r>
      <w:r>
        <w:instrText xml:space="preserve">" </w:instrText>
      </w:r>
      <w:r>
        <w:fldChar w:fldCharType="separate"/>
      </w:r>
      <w:r w:rsidRPr="000F1EE0">
        <w:rPr>
          <w:rStyle w:val="a3"/>
        </w:rPr>
        <w:t>http://minfin.ru/ru/document/?id_4=69453</w:t>
      </w:r>
      <w:r>
        <w:fldChar w:fldCharType="end"/>
      </w:r>
      <w:r>
        <w:t xml:space="preserve"> – проект приказа</w:t>
      </w:r>
    </w:p>
    <w:p w:rsidR="005833D4" w:rsidRDefault="005833D4" w:rsidP="005833D4"/>
    <w:p w:rsidR="005833D4" w:rsidRDefault="005833D4" w:rsidP="005833D4">
      <w:pPr>
        <w:pStyle w:val="1"/>
        <w:spacing w:before="161" w:beforeAutospacing="0" w:after="161" w:afterAutospacing="0"/>
      </w:pPr>
      <w:r>
        <w:t>Проект приказа Минфина России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</w:t>
      </w:r>
    </w:p>
    <w:p w:rsidR="005833D4" w:rsidRDefault="005833D4" w:rsidP="005833D4">
      <w:r>
        <w:rPr>
          <w:rStyle w:val="apple-converted-space"/>
        </w:rPr>
        <w:t>  </w:t>
      </w:r>
    </w:p>
    <w:p w:rsidR="005833D4" w:rsidRDefault="005833D4" w:rsidP="005833D4">
      <w:hyperlink r:id="rId5" w:history="1">
        <w:r>
          <w:rPr>
            <w:rStyle w:val="a3"/>
            <w:color w:val="E1931C"/>
            <w:sz w:val="33"/>
            <w:szCs w:val="33"/>
          </w:rPr>
          <w:t>0</w:t>
        </w:r>
      </w:hyperlink>
    </w:p>
    <w:p w:rsidR="005833D4" w:rsidRDefault="005833D4" w:rsidP="005833D4">
      <w:pPr>
        <w:pStyle w:val="a5"/>
        <w:ind w:right="150"/>
        <w:rPr>
          <w:color w:val="8D8D8D"/>
          <w:sz w:val="19"/>
          <w:szCs w:val="19"/>
        </w:rPr>
      </w:pPr>
      <w:r>
        <w:rPr>
          <w:color w:val="8D8D8D"/>
          <w:sz w:val="19"/>
          <w:szCs w:val="19"/>
        </w:rPr>
        <w:t>Дата публикации:</w:t>
      </w:r>
      <w:r>
        <w:rPr>
          <w:rStyle w:val="apple-converted-space"/>
          <w:color w:val="8D8D8D"/>
          <w:sz w:val="19"/>
          <w:szCs w:val="19"/>
        </w:rPr>
        <w:t> </w:t>
      </w:r>
      <w:r>
        <w:rPr>
          <w:color w:val="8D8D8D"/>
          <w:sz w:val="19"/>
          <w:szCs w:val="19"/>
        </w:rPr>
        <w:t>04.09.2015</w:t>
      </w:r>
      <w:r>
        <w:rPr>
          <w:rStyle w:val="apple-converted-space"/>
          <w:color w:val="8D8D8D"/>
          <w:sz w:val="19"/>
          <w:szCs w:val="19"/>
        </w:rPr>
        <w:t> </w:t>
      </w:r>
    </w:p>
    <w:p w:rsidR="005833D4" w:rsidRDefault="005833D4" w:rsidP="005833D4">
      <w:pPr>
        <w:pStyle w:val="a5"/>
        <w:ind w:right="150"/>
        <w:rPr>
          <w:color w:val="8D8D8D"/>
          <w:sz w:val="19"/>
          <w:szCs w:val="19"/>
        </w:rPr>
      </w:pPr>
      <w:r>
        <w:rPr>
          <w:color w:val="8D8D8D"/>
          <w:sz w:val="19"/>
          <w:szCs w:val="19"/>
        </w:rPr>
        <w:t>Дата изменения:</w:t>
      </w:r>
      <w:r>
        <w:rPr>
          <w:rStyle w:val="apple-converted-space"/>
          <w:color w:val="8D8D8D"/>
          <w:sz w:val="19"/>
          <w:szCs w:val="19"/>
        </w:rPr>
        <w:t> </w:t>
      </w:r>
      <w:r>
        <w:rPr>
          <w:color w:val="8D8D8D"/>
          <w:sz w:val="19"/>
          <w:szCs w:val="19"/>
        </w:rPr>
        <w:t>04.09.2015</w:t>
      </w:r>
      <w:r>
        <w:rPr>
          <w:rStyle w:val="apple-converted-space"/>
          <w:color w:val="8D8D8D"/>
          <w:sz w:val="19"/>
          <w:szCs w:val="19"/>
        </w:rPr>
        <w:t> </w:t>
      </w:r>
    </w:p>
    <w:p w:rsidR="005833D4" w:rsidRDefault="005833D4" w:rsidP="005833D4">
      <w:pPr>
        <w:pStyle w:val="a5"/>
        <w:ind w:right="150"/>
        <w:rPr>
          <w:color w:val="8D8D8D"/>
          <w:sz w:val="19"/>
          <w:szCs w:val="19"/>
        </w:rPr>
      </w:pPr>
      <w:r>
        <w:rPr>
          <w:color w:val="8D8D8D"/>
          <w:sz w:val="19"/>
          <w:szCs w:val="19"/>
        </w:rPr>
        <w:t xml:space="preserve">Прикрепленный файл: </w:t>
      </w:r>
      <w:proofErr w:type="spellStart"/>
      <w:r>
        <w:rPr>
          <w:color w:val="8D8D8D"/>
          <w:sz w:val="19"/>
          <w:szCs w:val="19"/>
        </w:rPr>
        <w:t>docx</w:t>
      </w:r>
      <w:proofErr w:type="spellEnd"/>
      <w:r>
        <w:rPr>
          <w:color w:val="8D8D8D"/>
          <w:sz w:val="19"/>
          <w:szCs w:val="19"/>
        </w:rPr>
        <w:t xml:space="preserve">, 64.54 </w:t>
      </w:r>
      <w:proofErr w:type="spellStart"/>
      <w:r>
        <w:rPr>
          <w:color w:val="8D8D8D"/>
          <w:sz w:val="19"/>
          <w:szCs w:val="19"/>
        </w:rPr>
        <w:t>кБ</w:t>
      </w:r>
      <w:proofErr w:type="spellEnd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808080"/>
        </w:rPr>
        <w:t>12</w:t>
      </w:r>
    </w:p>
    <w:p w:rsidR="005833D4" w:rsidRDefault="005833D4" w:rsidP="005833D4">
      <w:pPr>
        <w:pStyle w:val="a5"/>
        <w:spacing w:before="0" w:beforeAutospacing="0" w:after="0" w:afterAutospacing="0"/>
        <w:ind w:left="3969"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808080"/>
          <w:sz w:val="16"/>
          <w:szCs w:val="16"/>
        </w:rPr>
        <w:t> </w:t>
      </w:r>
    </w:p>
    <w:p w:rsidR="005833D4" w:rsidRDefault="005833D4" w:rsidP="005833D4">
      <w:pPr>
        <w:pStyle w:val="1"/>
        <w:spacing w:before="0" w:beforeAutospacing="0" w:after="0" w:afterAutospacing="0"/>
        <w:ind w:left="720"/>
        <w:jc w:val="right"/>
        <w:rPr>
          <w:rFonts w:ascii="Helvetica" w:hAnsi="Helvetica"/>
          <w:color w:val="000000"/>
          <w:sz w:val="46"/>
          <w:szCs w:val="46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 О Е К Т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МИНИСТЕРСТВО ФИНАНСОВ РОССИЙСКОЙ ФЕДЕРАЦИИ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(МИНФИН РОССИИ)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ПРИКАЗ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________________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№___________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Москва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Об утверждении федерального стандарта бухгалтерского учета для организаций государственного сектора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«Представление бухгалтерской (финансовой) отчетности»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68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 соответствии со статьями 21, 23 Федерального закона от 6 декабря 2011 г. № 402-ФЗ «О бухгалтерском учете» (Собрание законодательства Российской Федерации, 2011, № 50, ст. 7344, 2013, № 44, ст. 5631), подпунктом 5.2.21(1) пункта 5.2. Положения о Министерстве финансов Российской Федерации, утвержденного постановлением Правительства Российской Федерации от 30 июня 2004 года № 329 (Собрание </w:t>
      </w:r>
      <w:r>
        <w:rPr>
          <w:color w:val="000000"/>
          <w:sz w:val="28"/>
          <w:szCs w:val="28"/>
        </w:rPr>
        <w:lastRenderedPageBreak/>
        <w:t>законодательства Российской Федерации, 2004, № 31, ст. 3258; 2012, № 44, ст. 6027),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 р и к а з ы в а ю:</w:t>
      </w:r>
    </w:p>
    <w:p w:rsidR="005833D4" w:rsidRDefault="005833D4" w:rsidP="005833D4">
      <w:pPr>
        <w:pStyle w:val="a5"/>
        <w:spacing w:before="0" w:beforeAutospacing="0" w:after="0" w:afterAutospacing="0"/>
        <w:ind w:firstLine="68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 Утвердить федеральный стандарт бухгалтерского учета для организаций государственного сектора «Представление бухгалтерской (финансовой) отчетности».</w:t>
      </w:r>
    </w:p>
    <w:p w:rsidR="005833D4" w:rsidRDefault="005833D4" w:rsidP="005833D4">
      <w:pPr>
        <w:pStyle w:val="a5"/>
        <w:spacing w:before="0" w:beforeAutospacing="0" w:after="0" w:afterAutospacing="0"/>
        <w:ind w:firstLine="68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 Настоящий приказ вступает в силу с 1 января 2018 года.</w:t>
      </w:r>
    </w:p>
    <w:p w:rsidR="005833D4" w:rsidRDefault="005833D4" w:rsidP="005833D4">
      <w:pPr>
        <w:pStyle w:val="a5"/>
        <w:spacing w:before="0" w:beforeAutospacing="0" w:after="0" w:afterAutospacing="0"/>
        <w:ind w:firstLine="68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 Настоящий приказ распространяется на государственные (муниципальные) учреждения, государственные органы, органы местного самоуправления, органы управления государственных внебюджетных фондов, органы управления территориальных государственных внебюджетных фондов.</w:t>
      </w:r>
    </w:p>
    <w:p w:rsidR="005833D4" w:rsidRDefault="005833D4" w:rsidP="005833D4">
      <w:pPr>
        <w:pStyle w:val="a5"/>
        <w:spacing w:before="0" w:beforeAutospacing="0" w:after="0" w:afterAutospacing="0"/>
        <w:ind w:firstLine="68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 w:line="420" w:lineRule="atLeast"/>
        <w:ind w:firstLine="709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 w:line="420" w:lineRule="atLeast"/>
        <w:ind w:firstLine="709"/>
        <w:jc w:val="both"/>
        <w:rPr>
          <w:rFonts w:ascii="Helvetica" w:hAnsi="Helvetic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Министр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           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А.Г.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Силуанов</w:t>
      </w:r>
    </w:p>
    <w:p w:rsidR="005833D4" w:rsidRDefault="005833D4" w:rsidP="005833D4">
      <w:pPr>
        <w:rPr>
          <w:rFonts w:ascii="Helvetica" w:hAnsi="Helvetica"/>
          <w:color w:val="000000"/>
          <w:sz w:val="23"/>
          <w:szCs w:val="23"/>
        </w:rPr>
      </w:pPr>
      <w:bookmarkStart w:id="0" w:name="_Toc425853827"/>
      <w:bookmarkEnd w:id="0"/>
      <w:r>
        <w:rPr>
          <w:rFonts w:ascii="Helvetica" w:hAnsi="Helvetica"/>
          <w:color w:val="000000"/>
          <w:sz w:val="23"/>
          <w:szCs w:val="23"/>
        </w:rPr>
        <w:br w:type="textWrapping" w:clear="all"/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Утверждено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приказом Министерства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финансов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Российской Федерации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«___» __________201_г. №_____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right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Об утверждении федерального стандарта бухгалтерского учета и отчетности в государственном секторе «Представление бухгалтерской (финансовой) отчетности»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I. Общие положения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1. 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Настоящий федеральный стандарт бухгалтерского учета для организаций государственного сектора Российской Федерации (далее – Стандарт) разработан на основании Федерального закона от 6 декабря 2011 г. № 402-ФЗ «О бухгалтерском учете», Бюджетного кодекса Российской Федерации от 31 июля 1998 г. № 145-ФЗ, Федерального стандарта бухгалтерского учета для организаций государственного сектора Российской Федерации «Концептуальные основы бухгалтерского учета и отчетности в государственном секторе».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Настоящий Стандарт устанавливает методические основы формирования и порядок представления субъектами отчетности бухгалтерской (финансовой) отчетности общего назначения, а также обязательные общие требования к минимальному составу и порядку раскрытия публично раскрываемых указанными субъектами показателей бухгалтерской (финансовой) отчетности и пояснений к ним, публикация которых является обязательной в соответствии с законодательством Российской Федерации.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lastRenderedPageBreak/>
        <w:t>2. 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Положения настоящего Стандарта применяются субъектами отчетности при формировании как индивидуальной, так и консолидированной бухгалтерской (финансовой) отчетности общего назначения, а также при публичном раскрытии показателей бухгалтерской (финансовой) отчетности, если в настоящем Стандарте или федеральных стандартах бухгалтерского учета для организаций государственного сектора Российской федерации (далее –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Федеральные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стандарты) «Индивидуальная финансовая отчетность» и «Консолидированная финансовая отчетность» прямо не указано иное</w:t>
      </w:r>
      <w:bookmarkStart w:id="1" w:name="_ftnref1"/>
      <w:bookmarkEnd w:id="1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"_ftn1"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Fonts w:ascii="Times New Roman Cyr" w:hAnsi="Times New Roman Cyr"/>
          <w:color w:val="000000"/>
          <w:sz w:val="28"/>
          <w:szCs w:val="28"/>
        </w:rPr>
        <w:t>.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3. Положения настоящего Стандарта не применяются: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а) при составлении и представлении субъектами отчетности бухгалтерской (финансовой) отчетности специального назначения, в том числе управленческой отчетности, а также налоговой отчетности и</w:t>
      </w:r>
    </w:p>
    <w:p w:rsidR="005833D4" w:rsidRDefault="005833D4" w:rsidP="005833D4">
      <w:pPr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br w:type="textWrapping" w:clear="all"/>
      </w:r>
    </w:p>
    <w:p w:rsidR="005833D4" w:rsidRDefault="005833D4" w:rsidP="005833D4">
      <w:pPr>
        <w:pStyle w:val="a5"/>
        <w:spacing w:before="0" w:beforeAutospacing="0" w:after="0" w:afterAutospacing="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отчетности, составляемой для государственного статистического наблюдения;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rFonts w:ascii="Times New Roman Cyr" w:hAnsi="Times New Roman Cyr"/>
          <w:color w:val="000000"/>
          <w:sz w:val="28"/>
          <w:szCs w:val="28"/>
        </w:rPr>
        <w:t xml:space="preserve">б) при составлении и представлении бухгалтерской (финансовой) отчетности общего назначения государственными (муниципальными) унитарными предприятиями, другими коммерческими предприятиями, находящимися полностью или частично в государственной (муниципальной) собственности (коммерческие организации с государственным участием), государственными корпорациями, за исключением субъектов, которым открыты лицевые счета в органах Федерального Казначейства, и за исключением иных случаев, когда составление субъектами бухгалтерской (финансовой) отчетности в соответствии с настоящим Стандартом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прямопредусмотрено</w:t>
      </w:r>
      <w:proofErr w:type="spellEnd"/>
      <w:proofErr w:type="gramEnd"/>
      <w:r>
        <w:rPr>
          <w:rFonts w:ascii="Times New Roman Cyr" w:hAnsi="Times New Roman Cyr"/>
          <w:color w:val="000000"/>
          <w:sz w:val="28"/>
          <w:szCs w:val="28"/>
        </w:rPr>
        <w:t xml:space="preserve"> действующим законодательством.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bookmarkStart w:id="2" w:name="_Toc424811379"/>
      <w:r>
        <w:rPr>
          <w:color w:val="5BA149"/>
          <w:sz w:val="28"/>
          <w:szCs w:val="28"/>
        </w:rPr>
        <w:t>II. Термины и определения</w:t>
      </w:r>
      <w:bookmarkEnd w:id="2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4. В настоящем Стандарте используются термины и определения в указанных ниже значениях: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Пояснения к бухгалтерской (финансовой) отчетности, а также к публично раскрываемым показателям бухгалтерской (финансовой) отчетности (далее – Пояснения) – систематизированная, по возможности формализованная унифицированным способом в целях оперативного обобщения, информация, дополняющая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представленную</w:t>
      </w:r>
      <w:proofErr w:type="gramEnd"/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в балансе, отчете о финансовых результатах деятельности и отчете о движении денежных средств. В Пояснениях содержатся словесные описания или детализация статей перечисленных отчетов и публично раскрываемых показателей и информация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о статьях, не раскрытых отдельно в перечисленных отчетах.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Раскрытие информации – отражение информации (в стоимостном, натуральном выражении или в форме словесных описаний) в бухгалтерской (финансовой) отчетности субъекта отчетности, в Пояснениях к ней, в том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>числе при публичном раскрытии показателей бухгалтерской (финансовой) отчетности.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Термины и определения, приведенные в других федеральных стандартах, используются в настоящем Стандарте в том же значении, в котором они даны в указанных федеральных стандартах.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bookmarkStart w:id="3" w:name="_Toc424811380"/>
      <w:r>
        <w:rPr>
          <w:color w:val="5BA149"/>
          <w:sz w:val="28"/>
          <w:szCs w:val="28"/>
        </w:rPr>
        <w:t>III. Общие требования к бухгалтерской (финансовой) отчетности</w:t>
      </w:r>
      <w:r>
        <w:rPr>
          <w:rStyle w:val="apple-converted-space"/>
          <w:color w:val="5BA149"/>
          <w:sz w:val="28"/>
          <w:szCs w:val="28"/>
        </w:rPr>
        <w:t> </w:t>
      </w:r>
      <w:r>
        <w:rPr>
          <w:rFonts w:ascii="Helvetica" w:hAnsi="Helvetica"/>
          <w:color w:val="5BA149"/>
          <w:sz w:val="23"/>
          <w:szCs w:val="23"/>
        </w:rPr>
        <w:br/>
      </w:r>
      <w:r>
        <w:rPr>
          <w:color w:val="5BA149"/>
          <w:sz w:val="28"/>
          <w:szCs w:val="28"/>
        </w:rPr>
        <w:t>субъектов государственного сектора</w:t>
      </w:r>
      <w:bookmarkEnd w:id="3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5. Цели бухгалтерской (финансовой) отчетности в государственном секторе заключаются в представлении информации, полезной при принятии экономических решений: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а) об источниках, распределении и использовании финансовых ресурсов;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б) о способах финансирования деятельности субъекта отчетности и удовлетворении его потребностей в финансовых ресурсах;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в) о способности субъекта отчетности финансово обеспечивать свою деятельность и выполнять свои обязательства;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г) о финансовом положении субъекта отчетности и его изменениях;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д) другой информации, полезной для оценки результатов деятельности субъекта отчетности с точки зрения издержек на ведение деятельности, эффективности этой деятельности и достигнутых результатов.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Бухгалтерская (финансовая) отчетность общего назначения может также использоваться для прогнозирования объема ресурсов, необходимых для продолжения деятельности субъекта отчетности, ресурсов, которые могут быть созданы в процессе этой деятельности,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и сопутствующих этому рисков и неопределенностей.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6. Для достижения указанных целей бухгалтерская (финансовая) отчетность содержит следующую информацию: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а) активы;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б) обязательства;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в) доходы;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г) расходы;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д) движение денежных средств;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е) дополнительную нефинансовую информацию, представляемую в качестве отдельных отчетов или в составе пояснительной записки к бухгалтерской (финансовой) отчетности, в том числе в составе Пояснений.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Бухгалтерская (финансовая) отчетность формируется на основании данных бухгалтерского учета активов, обязательств, доходов, расходов и движения денежных средств субъекта отчетности. Дополнительную нефинансовую информацию, представляемую в качестве отдельных отчетов или в составе Пояснений,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формируют соответствующие подразделения субъекта отчетности.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 xml:space="preserve">7. В бухгалтерской (финансовой) отчетности субъектов статьи активов и обязательств, доходов и расходов отражаются развернуто за исключением случаев, когда сальдированное отражение активов за вычетом обязательств, </w:t>
      </w:r>
      <w:r>
        <w:rPr>
          <w:rFonts w:ascii="Times New Roman Cyr" w:hAnsi="Times New Roman Cyr"/>
          <w:color w:val="000000"/>
          <w:sz w:val="28"/>
          <w:szCs w:val="28"/>
        </w:rPr>
        <w:lastRenderedPageBreak/>
        <w:t>доходов за вычетом расходов требуется или разрешается каким-либо федеральным стандартом, другими нормативными правовыми актами, регулирующими бухгалтерский учет и отчетность в государственном секторе Российской Федерации.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Активы, в отношении которых действующими федеральными стандартами, другими нормативными правовыми актами, регулирующими бухгалтерский учет и отчетность в государственном секторе Российской Федерации,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предусмотрено формирование резервов, отражаются в бухгалтерском балансе субъектов отчетности за вычетом указанных</w:t>
      </w:r>
      <w:r>
        <w:rPr>
          <w:rStyle w:val="apple-converted-space"/>
          <w:rFonts w:ascii="Times New Roman Cyr" w:hAnsi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/>
          <w:color w:val="000000"/>
          <w:sz w:val="28"/>
          <w:szCs w:val="28"/>
        </w:rPr>
        <w:t>резервов</w:t>
      </w:r>
      <w:bookmarkStart w:id="4" w:name="_ftnref2"/>
      <w:bookmarkEnd w:id="4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"_ftn2"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Fonts w:ascii="Times New Roman Cyr" w:hAnsi="Times New Roman Cyr"/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540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Times New Roman Cyr" w:hAnsi="Times New Roman Cyr"/>
          <w:color w:val="000000"/>
          <w:sz w:val="28"/>
          <w:szCs w:val="28"/>
        </w:rPr>
        <w:t>Потоки денежных средств отражаются в отчете о движении денежных средств как чистые поступления или выбытия денежных сре</w:t>
      </w:r>
      <w:proofErr w:type="gramStart"/>
      <w:r>
        <w:rPr>
          <w:rFonts w:ascii="Times New Roman Cyr" w:hAnsi="Times New Roman Cyr"/>
          <w:color w:val="000000"/>
          <w:sz w:val="28"/>
          <w:szCs w:val="28"/>
        </w:rPr>
        <w:t>дств в сл</w:t>
      </w:r>
      <w:proofErr w:type="gramEnd"/>
      <w:r>
        <w:rPr>
          <w:rFonts w:ascii="Times New Roman Cyr" w:hAnsi="Times New Roman Cyr"/>
          <w:color w:val="000000"/>
          <w:sz w:val="28"/>
          <w:szCs w:val="28"/>
        </w:rPr>
        <w:t>учаях,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предусмотренных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Федеральнымстандартом</w:t>
      </w:r>
      <w:proofErr w:type="spellEnd"/>
      <w:r>
        <w:rPr>
          <w:color w:val="000000"/>
          <w:sz w:val="28"/>
          <w:szCs w:val="28"/>
        </w:rPr>
        <w:t xml:space="preserve"> «Отчеты о движении денежных средств»</w:t>
      </w:r>
      <w:bookmarkStart w:id="5" w:name="_ftnref3"/>
      <w:bookmarkEnd w:id="5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"_ftn3"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[3]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 Данные годовой бухгалтерской (финансовой) отчетности субъектов подтверждаются результатами инвентаризации активов и обязательств.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9. Бухгалтерская (финансовая) отчетность учреждения включает показатели всех структурных подразделений, включая филиалы и представительства, независимо от их места нахождения.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10. Каждая форма бухгалтерской (финансовой) отчетности, в том числе пояснительная записка к бухгалтерской (финансовой) отчетности, включая Пояснения, именуется отдельно. Кроме того, в каждой форме отчетности содержится следующая информация: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наименование субъекта отчетности (если наименование субъекта отчетности изменилось по сравнению с предыдущим отчетным периодом, указание на такое изменение отражается в пояснительной записке к бухгалтерской (финансовой) отчетности субъекта);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относится ли бухгалтерская (финансовая) отчетность к одному субъекту отчетности или группе организаций (консолидированная отчетность)</w:t>
      </w:r>
      <w:bookmarkStart w:id="6" w:name="_ftnref4"/>
      <w:bookmarkEnd w:id="6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"_ftn4"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[4]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отчетная дата или отчетный период (в зависимости от того, что применимо для каждой конкретной формы отчетности);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г) единица измерения показателей отчетности.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Публикация бухгалтерской (финансовой) отчетности в электронном виде в сети Интернет и публичное раскрытие показателей бухгалтерской (финансовой) осуществляется на регулярной основе, позволяющей обеспечить пользователей отчетности необходимой информацией.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11. Бухгалтерская (финансовая) отчетность субъектов, а также Пояснения к ней составляются на русском языке.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12. Отчетным периодом в целях составления годовой бухгалтерской (финансовой) отчетности субъектов является отчетный год с 1 января по 31 декабря, за исключением случаев создания, ликвидации и реорганизации путем разделения.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Для субъектов отчетности, созданных в течение отчетного года, включая субъекты, возникшие в результате реорганизации путем разделения, </w:t>
      </w:r>
      <w:r>
        <w:rPr>
          <w:color w:val="000000"/>
          <w:sz w:val="28"/>
          <w:szCs w:val="28"/>
        </w:rPr>
        <w:lastRenderedPageBreak/>
        <w:t>первым отчетным периодом является период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</w:t>
      </w:r>
      <w:proofErr w:type="spellStart"/>
      <w:r>
        <w:rPr>
          <w:color w:val="000000"/>
          <w:sz w:val="28"/>
          <w:szCs w:val="28"/>
        </w:rPr>
        <w:t>датыгосударственной</w:t>
      </w:r>
      <w:proofErr w:type="spellEnd"/>
      <w:r>
        <w:rPr>
          <w:color w:val="000000"/>
          <w:sz w:val="28"/>
          <w:szCs w:val="28"/>
        </w:rPr>
        <w:t xml:space="preserve"> регистрации по 31 декабря.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целях формирования бухгалтерской (финансовой) отчетности субъектов не являются реорганизацией: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изменение подведомственности субъекта отчетности;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изменение учредителя государственного (муниципального) учреждения;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изменение типа государственного (муниципального) учреждения.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Отчетным периодом для государственных (муниципальных) учреждений, тип которых был изменен в установленном порядке в течение отчетного года, является отчетный год с 1 января по 31 декабря. При этом бухгалтерская (финансовая) отчетность государственных (муниципальных) учреждений формируется с учетом требований, установленных документами системы нормативного регулирования Российской </w:t>
      </w:r>
      <w:proofErr w:type="gramStart"/>
      <w:r>
        <w:rPr>
          <w:color w:val="000000"/>
          <w:sz w:val="28"/>
          <w:szCs w:val="28"/>
        </w:rPr>
        <w:t>Федерации</w:t>
      </w:r>
      <w:proofErr w:type="gramEnd"/>
      <w:r>
        <w:rPr>
          <w:color w:val="000000"/>
          <w:sz w:val="28"/>
          <w:szCs w:val="28"/>
        </w:rPr>
        <w:t xml:space="preserve"> к формированию отчетности исходя из типа учреждения по состоянию на конец отчетного года.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13. Отчетной датой для годовой бухгалтерской (финансовой) отчетности является 1 января года, следующего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отчетным.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IV. Состав и содержание показателей бухгалтерской (финансовой) отчетности субъектов государственного сектора, подлежащих публичному раскрытию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14. </w:t>
      </w:r>
      <w:proofErr w:type="gramStart"/>
      <w:r>
        <w:rPr>
          <w:color w:val="000000"/>
          <w:sz w:val="28"/>
          <w:szCs w:val="28"/>
        </w:rPr>
        <w:t>Публичное раскрытие показателей бухгалтерской (финансовой) отчетности осуществляется субъектом отчетности с учетом положений законодательных актов Российской Федерации о способах публикации показателей бухгалтерской (финансовой) отчетности, местах размещения такой информации в сети Интернет, а также сроках публичного раскрытия показателей бухгалтерской (финансовой) отчетности (но не ранее сроков, установленных для формирования и представления в установленном порядке годовой бухгалтерской (финансовой) отчетности субъектов).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15. </w:t>
      </w:r>
      <w:proofErr w:type="gramStart"/>
      <w:r>
        <w:rPr>
          <w:color w:val="000000"/>
          <w:sz w:val="28"/>
          <w:szCs w:val="28"/>
        </w:rPr>
        <w:t>Соблюдение допущения непрерывности деятельности предполагает, что субъект отчетности в обозримом будущем будет продолжать функционировать, выполняя свои обязательства, за исключением случаев, когда у учредителя субъекта отчетности имеется намерение или необходимость ликвидировать субъект или прекратить его деятельность в трехлетний период после даты утверждения бухгалтерской (финансовой) отчетности, составленной в соответствии с порядком, установленным документами системы нормативного регулирования бухгалтерского учета и отчетности в государственном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секторе</w:t>
      </w:r>
      <w:proofErr w:type="gramEnd"/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Изменение подведомственности субъекта отчетности, изменение учредителя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(или)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типа государственного (муниципального) учреждения не является фактом, свидетельствующим о несоблюдении </w:t>
      </w:r>
      <w:proofErr w:type="gramStart"/>
      <w:r>
        <w:rPr>
          <w:color w:val="000000"/>
          <w:sz w:val="28"/>
          <w:szCs w:val="28"/>
        </w:rPr>
        <w:t>допущения непрерывности деятельности субъекта отчетности</w:t>
      </w:r>
      <w:proofErr w:type="gramEnd"/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lastRenderedPageBreak/>
        <w:t>Если публичное раскрытие показателей бухгалтерской (финансовой) отчетности субъекта осуществляется не на основе допущения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непрерывности деятельности субъекта, этот факт раскрывается в Пояснениях к раскрываемым показателям вместе с описанием причины, по которой субъект не считается непрерывно действующим, и раскрытием информации о влиянии факта несоблюдения допущения непрерывности деятельности субъекта на раскрываемые показатели бухгалтерской (финансовой) отчетности.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16. Представление и классификация публично раскрываемых показателей бухгалтерской (финансовой) отчетности субъекта остаются неизменными от периода к периоду за исключением следующих случаев: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а) когда в результате значительных изменений характера деятельности субъекта или анализа раскрываемых показателей его бухгалтерской (финансовой) </w:t>
      </w:r>
      <w:proofErr w:type="gramStart"/>
      <w:r>
        <w:rPr>
          <w:color w:val="000000"/>
          <w:sz w:val="28"/>
          <w:szCs w:val="28"/>
        </w:rPr>
        <w:t>отчетности</w:t>
      </w:r>
      <w:proofErr w:type="gramEnd"/>
      <w:r>
        <w:rPr>
          <w:color w:val="000000"/>
          <w:sz w:val="28"/>
          <w:szCs w:val="28"/>
        </w:rPr>
        <w:t xml:space="preserve"> очевидно, что другое представление или классификация показателей будут более уместны с учетом критериев выбора и применения учетной политики, установленных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стандарте «Учетная политика, изменения учетных оценок и ошибки»;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когда изменения представления или классификации публично раскрываемых показателей требуются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стандартами.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Если изменения представления или классификации публично раскрываемых показателей бухгалтерской (финансовой) отчетности требуются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стандартами, субъект отчетности вносит изменения в представление или классификацию показателей на основе требований к переходу от одного представления или классификации к другому, установленных при вступлении в силу соответствующих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стандартов.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Если изменение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представления или классификации публично раскрываемых показателей бухгалтерской (финансовой) отчетности не требуются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стандартами, субъект отчетности вносит изменения в представление или классификацию показателей только в том случае, когда такие изменения позволят представить пользователям публично раскрываемых показателей бухгалтерской (финансовой) отчетности более достоверную и уместную (релевантную) информацию, и измененное представление или классификация сохранятся и в будущем, благодаря чему сопоставимость отчетной информации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будет нарушена.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внесении изменений в представление или классификацию публично раскрываемых показателей бухгалтерской (финансовой) отчетности субъект отчетности соответствующим образом пересматривает представление или классификацию сравнительной информации за предыдущие отчетные периоды, представленной в составе раскрываемых показателей бухгалтерской (финансовой) отчетности, за исключением случаев, когда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реклассификация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практическинеосуществима</w:t>
      </w:r>
      <w:proofErr w:type="spellEnd"/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17. При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сравнительной информации за предыдущий отчетный год субъект отчетности раскрывает в Пояснениях: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характер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реклассификации</w:t>
      </w:r>
      <w:proofErr w:type="spellEnd"/>
      <w:r>
        <w:rPr>
          <w:color w:val="000000"/>
          <w:sz w:val="28"/>
          <w:szCs w:val="28"/>
        </w:rPr>
        <w:t>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б) стоимостные показатели, подлежащие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реклассификации</w:t>
      </w:r>
      <w:proofErr w:type="spellEnd"/>
      <w:r>
        <w:rPr>
          <w:color w:val="000000"/>
          <w:sz w:val="28"/>
          <w:szCs w:val="28"/>
        </w:rPr>
        <w:t>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причину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реклассификации</w:t>
      </w:r>
      <w:proofErr w:type="spellEnd"/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Если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реклассификация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сравнительной информации практически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неосуществима</w:t>
      </w:r>
      <w:proofErr w:type="gramEnd"/>
      <w:r>
        <w:rPr>
          <w:color w:val="000000"/>
          <w:sz w:val="28"/>
          <w:szCs w:val="28"/>
        </w:rPr>
        <w:t>, субъект отчетности раскрывает в Пояснениях к публично раскрываемым показателям бухгалтерской (финансовой) отчетности: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причину, по которой не производится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реклассификация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сравнительной информации;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характер корректировок показателей бухгалтерской (финансовой) отчетности, которые были бы произведены в случае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реклассификации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сравнительной информации.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18. Корректировки сравнительной информации в связи с изменениями учетной политики субъекта отчетности или исправлениями ошибок производятся в порядке, </w:t>
      </w:r>
      <w:proofErr w:type="spellStart"/>
      <w:r>
        <w:rPr>
          <w:color w:val="000000"/>
          <w:sz w:val="28"/>
          <w:szCs w:val="28"/>
        </w:rPr>
        <w:t>установленномФедеральным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стандартом «Учетная политика, изменения учетных оценок и ошибки»</w:t>
      </w:r>
      <w:bookmarkStart w:id="7" w:name="_ftnref5"/>
      <w:bookmarkEnd w:id="7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"_ftn5"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[5]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19. Все существенные группы показателей бухгалтерской (финансовой) отчетности представляются отдельно. Показатели, отличающиеся от других по содержанию или функции, раскрываются отдельно за исключением случаев, когда они являются несущественными.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Если какие-либо из раскрываемых показателей бухгалтерской (финансовой) отчетности является несущественными, они объединяются с другими показателями. Показатели, которые не являются существенными для отдельного представления при публичном раскрытии показателей бухгалтерской (</w:t>
      </w:r>
      <w:proofErr w:type="gramStart"/>
      <w:r>
        <w:rPr>
          <w:color w:val="000000"/>
          <w:sz w:val="28"/>
          <w:szCs w:val="28"/>
        </w:rPr>
        <w:t xml:space="preserve">финансовой) </w:t>
      </w:r>
      <w:proofErr w:type="gramEnd"/>
      <w:r>
        <w:rPr>
          <w:color w:val="000000"/>
          <w:sz w:val="28"/>
          <w:szCs w:val="28"/>
        </w:rPr>
        <w:t>отчетности, могут быть достаточно существенными для отдельного представления в Пояснениях к раскрываемым показателям.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20. По всем публично раскрываемым показателям бухгалтерской (финансовой) отчетности субъектов раскрывается сопоставимая информация хотя бы за один аналогичный предыдущий период, за исключением случаев, когда иное прямо допускается или требуется каким-</w:t>
      </w:r>
      <w:proofErr w:type="spellStart"/>
      <w:r>
        <w:rPr>
          <w:color w:val="000000"/>
          <w:sz w:val="28"/>
          <w:szCs w:val="28"/>
        </w:rPr>
        <w:t>либоФедеральным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стандартом.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 наличии описательных (словесных) пояснений к отдельным показателям бухгалтерской (финансовой) отчетности сопоставимая описательная информация за предыдущий период раскрывается, если она является уместной для понимания пользователями информации, раскрываемой за отчетный период.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21. Раскрываемые показатели бухгалтерской (финансовой) отчетности субъекта отчетности четко обозначаются и выделяются из прочей опубликованной информации о субъекте, чтобы пользователи могли отличать информацию, подготовленную в соответствии с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Федеральнымистандартами</w:t>
      </w:r>
      <w:proofErr w:type="spellEnd"/>
      <w:r>
        <w:rPr>
          <w:color w:val="000000"/>
          <w:sz w:val="28"/>
          <w:szCs w:val="28"/>
        </w:rPr>
        <w:t>, от другой информации о деятельности субъекта отчетности, которая может быть полезна для пользователей, но не регулируется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стандартами.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22. Публично раскрываемые показатели бухгалтерской (финансовой) отчетности могут представляться в тысячах, миллионах или миллиардах </w:t>
      </w:r>
      <w:r>
        <w:rPr>
          <w:color w:val="000000"/>
          <w:sz w:val="28"/>
          <w:szCs w:val="28"/>
        </w:rPr>
        <w:lastRenderedPageBreak/>
        <w:t>рублей. При составлении Пояснений детализация раскрываемых показателей может осуществляться в более подробных единицах измерения для обеспечения большей понятности раскрываемой информации для пользователей.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23. Раскрываемые показатели бухгалтерской (финансовой) отчетности субъекта включают: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показатели бухгалтерского баланса;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показатели отчета о финансовых результатах деятельности;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показатели отчета о движении денежных средств</w:t>
      </w:r>
      <w:bookmarkStart w:id="8" w:name="_ftnref6"/>
      <w:bookmarkEnd w:id="8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"_ftn6"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[6]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г) показатели отчета, сопоставляющего утвержденный бюджет и исполнение бюджета</w:t>
      </w:r>
      <w:bookmarkStart w:id="9" w:name="_ftnref7"/>
      <w:bookmarkEnd w:id="9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"_ftn7"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[7]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д) пояснительную записку к раскрываемым показателям бухгалтерской (финансовой) отчетности;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е) пояснения.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БУХГАЛТЕРСКИЙ БАЛАНС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24. Показатели бухгалтерского баланса характеризуют финансовое положение субъекта отчетности на отчетную дату. Показатели бухгалтерского баланса представляются на начало и конец отчетного года.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25. Активы и обязательства в бухгалтерском балансе представляются с подразделением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надолгосрочные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внеоборотные</w:t>
      </w:r>
      <w:proofErr w:type="spellEnd"/>
      <w:r>
        <w:rPr>
          <w:color w:val="000000"/>
          <w:sz w:val="28"/>
          <w:szCs w:val="28"/>
        </w:rPr>
        <w:t>) и краткосрочные (оборотные).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26. Актив субъекта отчетности классифицируется как краткосрочный, если он удовлетворяет хотя бы одному из следующих критериев: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актив предназначен для потребления, передачи (продажи) или обращения в денежные средства (иные активы) в течение 12 месяцев после отчетной даты;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б) актив представляет собой финансовый актив, классифицируемый в соответствии </w:t>
      </w:r>
      <w:proofErr w:type="spellStart"/>
      <w:r>
        <w:rPr>
          <w:color w:val="000000"/>
          <w:sz w:val="28"/>
          <w:szCs w:val="28"/>
        </w:rPr>
        <w:t>сФедеральным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стандартом «Финансовые инструменты»</w:t>
      </w:r>
      <w:bookmarkStart w:id="10" w:name="_ftnref8"/>
      <w:bookmarkEnd w:id="10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"_ftn8"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[8]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предназначенный для целей оборота;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в) актив представляет собой денежные средства или эквиваленты денежных средств (краткосрочные высоколиквидные инвестиции, легко обратимые в заранее известную сумму денежных средств и не подверженные значительным рискам изменения их стоимости, например, депозиты до востребования) при условии отсутствия ограничений на 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обмен или использование для погашения обязательств в течение периода, не превышающего 3 месяцев после отчетной даты</w:t>
      </w:r>
      <w:bookmarkStart w:id="11" w:name="_ftnref9"/>
      <w:bookmarkEnd w:id="11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"_ftn9"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[9]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.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Краткосрочные активы включают материальные запасы, дебиторскую задолженность и другие активы, которые могут быть потреблены, переданы (проданы) или обращены в денежные средства в течение 12 месяцев после отчетной даты, даже если их выбытие в течение этого периода и не предполагается. Краткосрочные активы включают также текущую долю долгосрочных финансовых активов,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 есть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часть долгосрочных финансовых </w:t>
      </w:r>
      <w:r>
        <w:rPr>
          <w:color w:val="000000"/>
          <w:sz w:val="28"/>
          <w:szCs w:val="28"/>
        </w:rPr>
        <w:lastRenderedPageBreak/>
        <w:t>активов субъекта, подлежащих погашению в течение 12 месяцев после отчетной даты.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 прочие активы субъекта отчетности, включая материальные, нематериальные и финансовые активы, классифицируются как долгосрочные.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27. Обязательство субъекта отчетности классифицируется как краткосрочное, если оно удовлетворяет хотя бы одному из следующих критериев: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предполагается его погашение в течение 12 месяцев после отчетной даты (даже если первоначальный срок погашения превышал 12 месяцев);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обязательство представляет собой финансовое обязательство, классифицируемое в соответствии с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стандартом «Финансовые инструменты»</w:t>
      </w:r>
      <w:bookmarkStart w:id="12" w:name="_ftnref10"/>
      <w:bookmarkEnd w:id="12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"_ftn10"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[10]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 обязательство, предназначенное для целей оборота;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у субъекта отчетности отсутствует безусловное право отсрочить погашение обязательства как минимум на 12 месяцев после отчетной даты.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Такие обязательства,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как начисленная заработная плата и другие начисленные расходы, связанные с осуществлением деятельности субъекта, кредиторская задолженность по налогам, сборам и другим обязательным платежам в бюджеты всех уровней бюджетной системы Российской Федерации (за исключением налоговых кредитов, предоставленных в порядке, установленном законодательством Российской Федерации, срок предоставления которых превышает 12 месяцев после отчетной даты), составляют часть оборотного капитала, используемого субъектом </w:t>
      </w:r>
      <w:proofErr w:type="spellStart"/>
      <w:r>
        <w:rPr>
          <w:color w:val="000000"/>
          <w:sz w:val="28"/>
          <w:szCs w:val="28"/>
        </w:rPr>
        <w:t>отчетности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казанные</w:t>
      </w:r>
      <w:proofErr w:type="spellEnd"/>
      <w:r>
        <w:rPr>
          <w:color w:val="000000"/>
          <w:sz w:val="28"/>
          <w:szCs w:val="28"/>
        </w:rPr>
        <w:t xml:space="preserve"> обязательства классифицируются как краткосрочные, даже если они подлежат погашению более чем через 12 месяцев после отчетной даты. К краткосрочным обязательствам относится также текущая доля долгосрочных обязательств,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 есть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часть долгосрочных обязательств субъекта, подлежащая погашению в течение 12 месяцев после отчетной даты.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 прочие обязательства субъекта отчетности классифицируются как долгосрочные.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28. Если субъект отчетности предполагает и имеет право по своему усмотрению в рамках действующего соглашения о финансировании рефинансировать или пролонгировать какое-либо обязательство на срок, превышающий как минимум 12 месяцев после отчетной даты, такое обязательство классифицируется как долгосрочное, даже если в противном случае оно подлежало бы погашению в более короткие сроки. Однако если субъект не может по своему усмотрению рефинансировать или пролонгировать обязательство (например, при отсутствии соглашения о рефинансировании), то потенциальная возможность рефинансирования не принимается во внимание и обязательство классифицируется как краткосрочное.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29. Если субъект отчетности нарушает условия соглашения о долгосрочном финансировании, в результате чего обязательство подлежит погашению по требованию кредитора, данное обязательство классифицируется как краткосрочное, даже если после отчетной даты (но до </w:t>
      </w:r>
      <w:r>
        <w:rPr>
          <w:color w:val="000000"/>
          <w:sz w:val="28"/>
          <w:szCs w:val="28"/>
        </w:rPr>
        <w:lastRenderedPageBreak/>
        <w:t>даты утверждения бухгалтерской (финансовой) отчетности) кредитор согласился не требовать платежа вследствие нарушения. В данном случае обязательство классифицируется как краткосрочное, поскольку на отчетную дату у субъекта отсутствовало безусловное право отсрочить его погашение на срок не менее 12 месяцев после отчетной даты.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Однако если до отчетной даты кредитор согласился предоставить отсрочку погашения обязательства на период, оканчивающийся не ранее чем через 12 месяцев после отчетной даты, в течение которого субъект может устранить допущенные нарушения, а кредитор не может требовать немедленного погашения обязательства, обязательство классифицируется как долгосрочное.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30. Если в отношении долговых обязательств, классифицированных в бухгалтерской (финансовой) отчетности как краткосрочные, в период между отчетной датой и датой утверждения бухгалтерской (финансовой) отчетности произошли перечисленные ниже события, информация о таких событиях подлежит раскрытию в Пояснениях: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рефинансирование на долгосрочный период;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устранение нарушения соглашения о долгосрочном финансировании;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получение от кредитора отсрочки на устранение допущенных нарушений соглашения о финансировании на период, оканчивающийся не ранее чем через 12 месяцев после отчетной даты.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31. Показатели активов субъектов отчетности раскрываются в нетто-оценке,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то есть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 вычетом любой накопленной амортизации амортизируемых активов, убытков от обесценения</w:t>
      </w:r>
      <w:bookmarkStart w:id="13" w:name="_ftnref11"/>
      <w:bookmarkEnd w:id="13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"_ftn11"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[11]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, резервов под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снижение стоимости материальных запасов и резервов по сомнительным долгам</w:t>
      </w:r>
      <w:bookmarkStart w:id="14" w:name="_ftnref12"/>
      <w:bookmarkEnd w:id="14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"_ftn12"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[12]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32. Субъекты отчетности при публичном раскрытии информации используют следующую структуру представления показателей бухгалтерского баланса.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Актив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I. Долгосрочные активы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1. Основные средства – всего,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них: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инвестиционная недвижимость</w:t>
            </w:r>
            <w:bookmarkStart w:id="15" w:name="_ftnref13"/>
            <w:bookmarkEnd w:id="15"/>
            <w:r>
              <w:fldChar w:fldCharType="begin"/>
            </w:r>
            <w:r>
              <w:instrText xml:space="preserve"> HYPERLINK "http://minfin.ru/ru/document/?id_4=69453" \l "_ftn13"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[13]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2. Нематериальные активы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3. Долгосрочные финансовые вложения – всего,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них: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инвестиции, учитываемые по методу долевого участия</w:t>
            </w:r>
            <w:bookmarkStart w:id="16" w:name="_ftnref14"/>
            <w:bookmarkEnd w:id="16"/>
            <w:r>
              <w:fldChar w:fldCharType="begin"/>
            </w:r>
            <w:r>
              <w:instrText xml:space="preserve"> HYPERLINK "http://minfin.ru/ru/document/?id_4=69453" \l "_ftn14"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[14]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4. Прочие долгосрочные активы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5. Итого по разделу I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II. Краткосрочные активы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6. Материальные запасы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lastRenderedPageBreak/>
              <w:t>7. Денежные средства</w:t>
            </w:r>
            <w:bookmarkStart w:id="17" w:name="_ftnref15"/>
            <w:bookmarkEnd w:id="17"/>
            <w:r>
              <w:fldChar w:fldCharType="begin"/>
            </w:r>
            <w:r>
              <w:instrText xml:space="preserve"> HYPERLINK "http://minfin.ru/ru/document/?id_4=69453" \l "_ftn15"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[15]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8. Краткосрочные финансовые вложения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9. Дебиторская задолженность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10. Прочие краткосрочные активы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11. Итого по разделу II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12. Итого активы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Пассив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III. Долгосрочные обязательства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13. Расчеты с кредиторами по долговым обязательствам – всего,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по долговым обязательствам в рублях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по долговым обязательствам в иностранной валюте</w:t>
            </w:r>
          </w:p>
        </w:tc>
      </w:tr>
      <w:tr w:rsidR="005833D4" w:rsidTr="005833D4">
        <w:trPr>
          <w:trHeight w:val="430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14. Оценочные обязательства</w:t>
            </w:r>
            <w:bookmarkStart w:id="18" w:name="_ftnref16"/>
            <w:bookmarkEnd w:id="18"/>
            <w:r>
              <w:fldChar w:fldCharType="begin"/>
            </w:r>
            <w:r>
              <w:instrText xml:space="preserve"> HYPERLINK "http://minfin.ru/ru/document/?id_4=69453" \l "_ftn16"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[16]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15. Прочие долгосрочные обязательства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16. Итого по разделу III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IV. Краткосрочные обязательства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17. Расчеты с кредиторами по долговым обязательствам – всего,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по долговым обязательствам в рублях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по долговым обязательствам в иностранной валюте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 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18. Оценочные обязательства</w:t>
            </w:r>
            <w:bookmarkStart w:id="19" w:name="_ftnref17"/>
            <w:bookmarkEnd w:id="19"/>
            <w:r>
              <w:fldChar w:fldCharType="begin"/>
            </w:r>
            <w:r>
              <w:instrText xml:space="preserve"> HYPERLINK "http://minfin.ru/ru/document/?id_4=69453" \l "_ftn17"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[17]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19. Кредиторская задолженность по уплате налогов, сборов, иных обязательных платежей в бюджеты всех уровней бюджетной системы Российской Федерации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20. Прочая кредиторская задолженность - всего,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нее: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расчеты с персоналом по оплате труда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21. Итого по разделу IV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V. Прочие пассивы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22. Расчеты по вкладам с собственником (учредителем)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23. Переоценка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внеоборотных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активов</w:t>
            </w:r>
            <w:bookmarkStart w:id="20" w:name="_ftnref18"/>
            <w:bookmarkEnd w:id="20"/>
            <w:r>
              <w:fldChar w:fldCharType="begin"/>
            </w:r>
            <w:r>
              <w:instrText xml:space="preserve"> HYPERLINK "http://minfin.ru/ru/document/?id_4=69453" \l "_ftn18"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[18]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24. Финансовый результат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25. Доля меньшинства в чистых активах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26. Итого по разделу V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27. Итого пассивы</w:t>
            </w:r>
          </w:p>
        </w:tc>
      </w:tr>
    </w:tbl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33. В Пояснениях субъект отчетности раскрывает детализированную информацию об активах и обязательствах, существенную и уместную для понимания финансового положения субъекта.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34. В Пояснениях субъект отчетности раскрывает информацию о чистых активах</w:t>
      </w:r>
      <w:bookmarkStart w:id="21" w:name="_ftnref19"/>
      <w:bookmarkEnd w:id="21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"_ftn19"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[19]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. В случаях,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если чистые активы не превышают нижнюю границу допустимых лимитов, установленных действующим законодательством, в Пояснениях дополнительно раскрываются причины отклонения от требований, а также план мероприятий по нормализации показателей.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  <w:shd w:val="clear" w:color="auto" w:fill="FFFF00"/>
        </w:rPr>
        <w:t> </w:t>
      </w:r>
    </w:p>
    <w:p w:rsidR="005833D4" w:rsidRDefault="005833D4" w:rsidP="005833D4">
      <w:pPr>
        <w:pStyle w:val="a5"/>
        <w:spacing w:before="0" w:beforeAutospacing="0" w:after="200" w:afterAutospacing="0" w:line="322" w:lineRule="atLeast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br w:type="textWrapping" w:clear="all"/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ОТЧЕТ О ФИНАНСОВЫХ РЕЗУЛЬТАТАХ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39. В составе показателей отчета о финансовых результатах деятельности субъекта отчетности в обязательном порядке раскрываются следующие статьи за отчетный период и аналогичный период прошлого года</w:t>
      </w:r>
      <w:bookmarkStart w:id="22" w:name="_ftnref20"/>
      <w:bookmarkEnd w:id="22"/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"_ftn20"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[20]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color w:val="000000"/>
          <w:sz w:val="28"/>
          <w:szCs w:val="28"/>
        </w:rPr>
        <w:t>: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Доходы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1. Доходы от необменных операций - всего,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налоговые доходы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безвозмездные поступления от бюджетов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прочие доходы от необменных операций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2. Доходы от обменных операций - всего,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доходы от оказания платных услуг (работ),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 – налог на добавленную стоимость,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доходы от сдачи имущества в аренду,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 – налог на добавленную стоимость,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доходы от продажи активов,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 – налог на добавленную стоимость, акцизы,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прочие доходы от обменных операций,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из них – налог на добавленную стоимость, акцизы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3. Итого доходы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</w:tr>
      <w:tr w:rsidR="005833D4" w:rsidTr="005833D4">
        <w:trPr>
          <w:trHeight w:val="44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4. Оплата труда и начисления на выплаты по оплате труда</w:t>
            </w:r>
          </w:p>
        </w:tc>
      </w:tr>
      <w:tr w:rsidR="005833D4" w:rsidTr="005833D4">
        <w:trPr>
          <w:trHeight w:val="374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5. Амортизация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6. Материальные затраты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7. Обслуживание долговых обязательств - всего,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обслуживание внутреннего долга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lastRenderedPageBreak/>
              <w:t>обслуживание внешнего долга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8. Безвозмездные перечисления - всего,</w:t>
            </w:r>
          </w:p>
          <w:p w:rsidR="005833D4" w:rsidRDefault="005833D4">
            <w:pPr>
              <w:pStyle w:val="a5"/>
              <w:spacing w:before="0" w:beforeAutospacing="0" w:after="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безвозмездные перечисления организациям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безвозмездные перечисления бюджетам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9. Прочие расходы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10. Итого расходы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11. Доля в прибыли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(убытке)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ассоциированных субъектов и совместной деятельности</w:t>
            </w:r>
            <w:bookmarkStart w:id="23" w:name="_ftnref21"/>
            <w:bookmarkEnd w:id="23"/>
            <w:r>
              <w:fldChar w:fldCharType="begin"/>
            </w:r>
            <w:r>
              <w:instrText xml:space="preserve"> HYPERLINK "http://minfin.ru/ru/document/?id_4=69453" \l "_ftn21"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[21]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12. Операционный результат до налогообложения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13. Налог на прибыль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14. Чистый операционный результат - всего</w:t>
            </w:r>
            <w:r>
              <w:rPr>
                <w:sz w:val="28"/>
                <w:szCs w:val="28"/>
              </w:rPr>
              <w:t>,</w:t>
            </w:r>
          </w:p>
          <w:p w:rsidR="005833D4" w:rsidRDefault="005833D4">
            <w:pPr>
              <w:pStyle w:val="a5"/>
              <w:spacing w:before="60" w:beforeAutospacing="0" w:after="6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</w:t>
            </w:r>
            <w:bookmarkStart w:id="24" w:name="_ftnref22"/>
            <w:bookmarkEnd w:id="24"/>
            <w:r>
              <w:fldChar w:fldCharType="begin"/>
            </w:r>
            <w:r>
              <w:instrText xml:space="preserve"> HYPERLINK "http://minfin.ru/ru/document/?id_4=69453" \l "_ftn22"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[22]</w:t>
            </w:r>
            <w:r>
              <w:fldChar w:fldCharType="end"/>
            </w:r>
            <w:r>
              <w:rPr>
                <w:sz w:val="28"/>
                <w:szCs w:val="28"/>
              </w:rPr>
              <w:t>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rPr>
                <w:sz w:val="28"/>
                <w:szCs w:val="28"/>
              </w:rPr>
              <w:t>относящийся</w:t>
            </w:r>
            <w:proofErr w:type="gramEnd"/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 доле меньшинства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rPr>
                <w:sz w:val="28"/>
                <w:szCs w:val="28"/>
              </w:rPr>
              <w:t>относящийся</w:t>
            </w:r>
            <w:proofErr w:type="gramEnd"/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 собственникам контролирующего субъекта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center"/>
            </w:pPr>
            <w:r>
              <w:rPr>
                <w:b/>
                <w:bCs/>
                <w:sz w:val="28"/>
                <w:szCs w:val="28"/>
              </w:rPr>
              <w:t>Доходы и расходы, не включаемые при определении финансового результата отчетного периода</w:t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15. Переоценка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внеоборотных</w:t>
            </w:r>
            <w:proofErr w:type="spellEnd"/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активов</w:t>
            </w:r>
            <w:bookmarkStart w:id="25" w:name="_ftnref23"/>
            <w:bookmarkEnd w:id="25"/>
            <w:r>
              <w:fldChar w:fldCharType="begin"/>
            </w:r>
            <w:r>
              <w:instrText xml:space="preserve"> HYPERLINK "http://minfin.ru/ru/document/?id_4=69453" \l "_ftn23"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[23]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16. Вклады собственников (учредителей)</w:t>
            </w:r>
          </w:p>
        </w:tc>
      </w:tr>
      <w:tr w:rsidR="005833D4" w:rsidTr="005833D4">
        <w:trPr>
          <w:trHeight w:val="449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17. Изъятия в пользу собственников (учредителей)</w:t>
            </w:r>
          </w:p>
        </w:tc>
      </w:tr>
      <w:tr w:rsidR="005833D4" w:rsidTr="005833D4">
        <w:trPr>
          <w:trHeight w:val="430"/>
        </w:trPr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18. Корректировки в связи с исправлением ошибок</w:t>
            </w:r>
            <w:bookmarkStart w:id="26" w:name="_ftnref24"/>
            <w:bookmarkEnd w:id="26"/>
            <w:r>
              <w:fldChar w:fldCharType="begin"/>
            </w:r>
            <w:r>
              <w:instrText xml:space="preserve"> HYPERLINK "http://minfin.ru/ru/document/?id_4=69453" \l "_ftn24"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[24]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sz w:val="28"/>
                <w:szCs w:val="28"/>
              </w:rPr>
              <w:t>19. Корректировки в связи с изменением учетной политики</w:t>
            </w:r>
            <w:bookmarkStart w:id="27" w:name="_ftnref25"/>
            <w:bookmarkEnd w:id="27"/>
            <w:r>
              <w:fldChar w:fldCharType="begin"/>
            </w:r>
            <w:r>
              <w:instrText xml:space="preserve"> HYPERLINK "http://minfin.ru/ru/document/?id_4=69453" \l "_ftn25"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[25]</w:t>
            </w:r>
            <w:r>
              <w:fldChar w:fldCharType="end"/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60" w:beforeAutospacing="0" w:after="60" w:afterAutospacing="0"/>
              <w:ind w:firstLine="709"/>
              <w:jc w:val="both"/>
            </w:pPr>
            <w:r>
              <w:rPr>
                <w:b/>
                <w:bCs/>
                <w:sz w:val="28"/>
                <w:szCs w:val="28"/>
              </w:rPr>
              <w:t>20. Итого доходы и расходы, не включаемые при определении финансового результата отчетного периода - всего,</w:t>
            </w:r>
          </w:p>
          <w:p w:rsidR="005833D4" w:rsidRDefault="005833D4">
            <w:pPr>
              <w:pStyle w:val="a5"/>
              <w:spacing w:before="60" w:beforeAutospacing="0" w:after="60" w:afterAutospacing="0"/>
              <w:ind w:left="567" w:firstLine="709"/>
              <w:jc w:val="both"/>
            </w:pPr>
            <w:r>
              <w:rPr>
                <w:sz w:val="28"/>
                <w:szCs w:val="28"/>
              </w:rPr>
              <w:t>в том числе</w:t>
            </w:r>
            <w:bookmarkStart w:id="28" w:name="_ftnref26"/>
            <w:bookmarkEnd w:id="28"/>
            <w:r>
              <w:fldChar w:fldCharType="begin"/>
            </w:r>
            <w:r>
              <w:instrText xml:space="preserve"> HYPERLINK "http://minfin.ru/ru/document/?id_4=69453" \l "_ftn26" </w:instrText>
            </w:r>
            <w:r>
              <w:fldChar w:fldCharType="separate"/>
            </w:r>
            <w:r>
              <w:rPr>
                <w:rStyle w:val="a3"/>
                <w:color w:val="5BA149"/>
              </w:rPr>
              <w:t>[26]</w:t>
            </w:r>
            <w:r>
              <w:fldChar w:fldCharType="end"/>
            </w:r>
            <w:r>
              <w:rPr>
                <w:sz w:val="28"/>
                <w:szCs w:val="28"/>
              </w:rPr>
              <w:t>: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r>
              <w:rPr>
                <w:sz w:val="28"/>
                <w:szCs w:val="28"/>
              </w:rPr>
              <w:t>относящиеся к доле меньшинства</w:t>
            </w:r>
          </w:p>
        </w:tc>
      </w:tr>
      <w:tr w:rsidR="005833D4" w:rsidTr="005833D4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3D4" w:rsidRDefault="005833D4">
            <w:pPr>
              <w:pStyle w:val="a5"/>
              <w:spacing w:before="0" w:beforeAutospacing="0" w:after="0" w:afterAutospacing="0"/>
              <w:ind w:firstLine="709"/>
              <w:jc w:val="both"/>
            </w:pPr>
            <w:proofErr w:type="gramStart"/>
            <w:r>
              <w:rPr>
                <w:sz w:val="28"/>
                <w:szCs w:val="28"/>
              </w:rPr>
              <w:t>относящиеся</w:t>
            </w:r>
            <w:proofErr w:type="gramEnd"/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 собственникам контролирующего субъекта</w:t>
            </w:r>
          </w:p>
        </w:tc>
      </w:tr>
    </w:tbl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40. Сальдированное отражение доходов и расходов (отражение доходов за вычетом соответствующих расходов) при раскрытии показателей отчета о финансовых результатах деятельности допускается только в случаях, прямо предусмотренных настоящим </w:t>
      </w:r>
      <w:proofErr w:type="spellStart"/>
      <w:r>
        <w:rPr>
          <w:color w:val="000000"/>
          <w:sz w:val="28"/>
          <w:szCs w:val="28"/>
        </w:rPr>
        <w:t>Стандартом</w:t>
      </w:r>
      <w:proofErr w:type="gramStart"/>
      <w:r>
        <w:rPr>
          <w:color w:val="000000"/>
          <w:sz w:val="28"/>
          <w:szCs w:val="28"/>
        </w:rPr>
        <w:t>,Ф</w:t>
      </w:r>
      <w:proofErr w:type="gramEnd"/>
      <w:r>
        <w:rPr>
          <w:color w:val="000000"/>
          <w:sz w:val="28"/>
          <w:szCs w:val="28"/>
        </w:rPr>
        <w:t>едеральными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стандартами «Доходы от обменных операций» и «Доходы от необменных операций», другими нормативными правовыми актами Министерства финансов Российской Федерации.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41. В составе Пояснений при детализации показателей отчета о финансовых результатах деятельности субъект отчетности раскрывает детализированную информацию о доходах и расходах за отчетный период и аналогичный период прошлого года, систематизированных по степени их существенности по отношению к финансовому результату отчетного периода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 И ПОЯСНЕНИЯ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42. Кроме раскрытия показателей бухгалтерского баланса, отчета о финансовых результатах деятельности, отчета о движении денежных средств,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субъект отчетности обязан составлять пояснительную записку к бухгалтерской (финансовой) отчетности.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Пояснительная записка к бухгалтерской (финансовой) отчетности субъекта представляется в упорядоченном виде и содержит как минимум следующую информацию либо ссылки на другие отчеты субъекта, где представлена такая информация: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а) информация о месте нахождения и организационно-правовой форме субъекта отчетности;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б) сведения об изменениях наименования субъекта за отчетный период, если такие изменения производились;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в) перечень основных нормативных правовых актов, регламентирующих деятельность субъекта отчетности;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г) наименование контролирующего субъекта;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д) если субъект отчетности создан на определенный срок, то информацию о сроках его деятельности;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е) сведения об основных направлениях деятельности субъекта отчетности, иная информация о деятельности субъекта, существенная для понимания пользователями отчетности финансового положения, финансовых результатов деятельности и движения денежных средств субъекта;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ж) указание на то, что представленные показатели бухгалтерской (финансовой) отчетности сформированы исходя из действующих в Российской Федерации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стандартов, других документов системы нормативного регулирования бухгалтерского учета в государственном секторе;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з) краткое описание основных положений учетной политики, в том числе: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способы оценки активов, обязательств, доходов и расходов, применяемые субъектом при формировании бухгалтерской (финансовой) отчетности в случаях, когда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Федеральные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стандарты, иные нормативные правовые акты, регулирующие бухгалтерский учет в государственном секторе допускают выбор субъектом одного из нескольких допустимых способов оценки активов, обязательств, доходов и расходов;</w:t>
      </w:r>
      <w:proofErr w:type="gramEnd"/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применяемые субъектом какие-либо переходные положения федеральных стандартов бухгалтерского учета в государственном секторе и характер таких положений;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информацию о профессиональных суждениях, выработанных в процессе применения учетной политики и оказывающих существенное влияние на показатели бухгалтерской (финансовой) отчетности (например, профессиональные суждения о том, относятся ли объекты к </w:t>
      </w:r>
      <w:proofErr w:type="spellStart"/>
      <w:r>
        <w:rPr>
          <w:color w:val="000000"/>
          <w:sz w:val="28"/>
          <w:szCs w:val="28"/>
        </w:rPr>
        <w:t>основнымсредствам</w:t>
      </w:r>
      <w:proofErr w:type="spellEnd"/>
      <w:r>
        <w:rPr>
          <w:color w:val="000000"/>
          <w:sz w:val="28"/>
          <w:szCs w:val="28"/>
        </w:rPr>
        <w:t xml:space="preserve"> или инвестиционной недвижимости, являются ли договоры соглашениями об аренде);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прочие положения учетной политики субъекта, существенные для понимания пользователями отчетности его финансового положения, финансовых результатов деятельности и движения денежных средств;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и) информация, раскрытие которой в пояснительной записке к бухгалтерской (финансовой) отчетности требуется в соответствии с настоящим Стандартом, другими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Федеральнымистандартами</w:t>
      </w:r>
      <w:proofErr w:type="spellEnd"/>
      <w:r>
        <w:rPr>
          <w:color w:val="000000"/>
          <w:sz w:val="28"/>
          <w:szCs w:val="28"/>
        </w:rPr>
        <w:t xml:space="preserve"> Российской Федерации, прочими документами системы нормативного регулирования бухгалтерского учета в государственном секторе;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к) информация об основных источниках неопределенностей в отношении учетных оценок, включая ключевые допущения, касающиеся будущих событий,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другие основные источники неопределенностей, в связи с которыми имеются риски существенных корректировок балансовой стоимости активов и обязательств в следующем отчетном году, а также наименование и балансовую стоимость таких активов и обязательств на отчетную дату.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 таким учетным оценкам, например, относятся оценка возмещаемой стоимости определенных классов основных средств, оценка влияния технологического устаревания на стоимость запасов, оценка резервов в связи с будущими результатами текущих судебных разбирательств;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л) информация о результатах исполнения субъектом отчетности плана его финансово-хозяйственной деятельности или указание на наименование и место публикации отчета, в котором содержится такая информация;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м) информация о результатах исполнения субъектом отчетности государственного (муниципального) задания или указание на наименование и место публикации отчета, в котором содержится такая информация;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н) иная финансовая и нефинансовая информация, существенная для понимания пользователями отчетности финансового положения, финансовых результатов деятельности и движения денежных средств субъекта отчетности.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V. Вступление в силу и переходные положения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center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43. Настоящий Станда</w:t>
      </w:r>
      <w:proofErr w:type="gramStart"/>
      <w:r>
        <w:rPr>
          <w:color w:val="000000"/>
          <w:sz w:val="28"/>
          <w:szCs w:val="28"/>
        </w:rPr>
        <w:t>рт вст</w:t>
      </w:r>
      <w:proofErr w:type="gramEnd"/>
      <w:r>
        <w:rPr>
          <w:color w:val="000000"/>
          <w:sz w:val="28"/>
          <w:szCs w:val="28"/>
        </w:rPr>
        <w:t>упает в силу для субъектов отчетности при публичном представлении показателей бухгалтерской (финансовой) отчетности за период, начинающийся 1 января 2018 г. или позднее. Более раннее применение допускается по согласованию с Министерством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финансов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Российской Федерации.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Субъект отчетности, применяющий настоящий Стандарт, раскрывает показатели бухгалтерской (финансовой) отчетности на своем портале в сети Интернет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(или)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ресурсе в сети Интернет, определенном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действующими законодательными актами (муниципальными правовыми актами).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Если субъект отчетности применяет настоящий Стандарт при раскрытии показателей бухгалтерской (финансовой) отчетности за период, начавшийся ранее 1 января 2018 г., он раскрывает этот факт в Пояснениях.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44. Все положения настоящего Стандарта, за исключением представления сопоставимой информации за хотя бы один предыдущий отчетный период, применяются</w:t>
      </w:r>
      <w:r>
        <w:rPr>
          <w:rStyle w:val="apple-converted-space"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даты его первого применения, если иное не предусмотрено настоящим Стандартом или переходными положениями к другим федеральным стандартам.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45. Если субъект отчетности не применяет какие-либо требования настоящего Стандарта в связи с применением переходных положений к другим федеральным стандартам, он раскрывает этот факт в Пояснениях.</w:t>
      </w:r>
    </w:p>
    <w:p w:rsidR="005833D4" w:rsidRDefault="005833D4" w:rsidP="005833D4">
      <w:pPr>
        <w:pStyle w:val="a5"/>
        <w:spacing w:before="0" w:beforeAutospacing="0" w:after="0" w:afterAutospacing="0"/>
        <w:ind w:firstLine="709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46. Сравнительная информация хотя бы за один предыдущий отчетный период представляется субъектами отчетности при раскрытии показателей бухгалтерской (финансовой) отчетности за период, начинающийся 1 января 2018 г. или позднее.</w:t>
      </w:r>
    </w:p>
    <w:p w:rsidR="005833D4" w:rsidRDefault="005833D4" w:rsidP="005833D4">
      <w:pPr>
        <w:spacing w:before="240" w:after="240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pict>
          <v:rect id="_x0000_i1025" style="width:198.5pt;height:.75pt" o:hrpct="0" o:hrstd="t" o:hr="t" fillcolor="#a0a0a0" stroked="f"/>
        </w:pict>
      </w:r>
    </w:p>
    <w:bookmarkStart w:id="29" w:name="_ftn1"/>
    <w:bookmarkEnd w:id="29"/>
    <w:p w:rsidR="005833D4" w:rsidRDefault="005833D4" w:rsidP="005833D4">
      <w:pPr>
        <w:pStyle w:val="a5"/>
        <w:spacing w:before="0" w:beforeAutospacing="0" w:after="0" w:afterAutospacing="0"/>
        <w:ind w:left="142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Стандарта, относящиеся к порядку формирования показателей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индивидуальной и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консолидированной бухгалтерской (финансовой) отчетности, применяются после вступления в силу федеральных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стандартов</w:t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«Индивидуальная финансовая отчетность» и «Консолидированная финансовая отчетность».</w:t>
      </w:r>
    </w:p>
    <w:bookmarkStart w:id="30" w:name="_ftn2"/>
    <w:bookmarkEnd w:id="30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данного абзаца применяются после вступления в силу федеральных стандартов, других нормативных правовых актов, предусматривающих формирование таких резервов (например, резерв под снижение стоимости материальных запасов, резерв по сомнительным долгам)</w:t>
      </w:r>
    </w:p>
    <w:bookmarkStart w:id="31" w:name="_ftn3"/>
    <w:bookmarkEnd w:id="31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"_ftnref3"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[3]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абзаца применяются после вступления в силу федерального стандарта «Отчеты о движении денежных средств»</w:t>
      </w:r>
    </w:p>
    <w:bookmarkStart w:id="32" w:name="_ftn4"/>
    <w:bookmarkEnd w:id="32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"_ftnref4"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[4]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абзаца применяются после вступления в силу федеральных стандартов «Консолидированная финансовая отчетность» и «Индивидуальная финансовая отчетность»</w:t>
      </w:r>
    </w:p>
    <w:bookmarkStart w:id="33" w:name="_ftn5"/>
    <w:bookmarkEnd w:id="33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"_ftnref5"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[5]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До вступления в силу федерального стандарта «Учетная политика, изменения учетных оценок и ошибки» субъекты при исправлении ошибок руководствуются документами системы нормативного регулирования</w:t>
      </w:r>
    </w:p>
    <w:bookmarkStart w:id="34" w:name="_ftn6"/>
    <w:bookmarkEnd w:id="34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"_ftnref6"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[6]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Подлежат публичному раскрытию после вступления в силу федерального стандарта  «Отчеты о движении денежных средств»</w:t>
      </w:r>
    </w:p>
    <w:bookmarkStart w:id="35" w:name="_ftn7"/>
    <w:bookmarkEnd w:id="35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"_ftnref7"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[7]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Подлежат публичному раскрытию субъектами отчетности государственного сектора, обязанными в соответствии с законодательными и нормативными правовыми актами Российской Федерации, субъектов Российской Федерации, муниципальными правовыми актами публиковать утвержденный бюджет (смету), после вступления в силу федерального стандарта  «Представление бюджетной информации в финансовой отчетности»</w:t>
      </w:r>
    </w:p>
    <w:bookmarkStart w:id="36" w:name="_ftn8"/>
    <w:bookmarkEnd w:id="36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"_ftnref8"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[8]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абзаца применяются после вступления в силу федерального стандарта  «Финансовые инструменты»</w:t>
      </w:r>
    </w:p>
    <w:bookmarkStart w:id="37" w:name="_ftn9"/>
    <w:bookmarkEnd w:id="37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"_ftnref9"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[9]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абзаца применяются после вступления в силу федерального стандарта  «Отчеты о движении денежных средств»</w:t>
      </w:r>
    </w:p>
    <w:bookmarkStart w:id="38" w:name="_ftn10"/>
    <w:bookmarkEnd w:id="38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"_ftnref10"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[10]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Положения настоящего абзаца применяются после вступления в силу федерального стандарта  «Финансовые инструменты»</w:t>
      </w:r>
    </w:p>
    <w:bookmarkStart w:id="39" w:name="_ftn11"/>
    <w:bookmarkEnd w:id="39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"_ftnref11"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[11]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Убытки от обесценения отражаются после вступления в силу федерального стандарта «Обесценение активов»</w:t>
      </w:r>
    </w:p>
    <w:bookmarkStart w:id="40" w:name="_ftn12"/>
    <w:bookmarkEnd w:id="40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"_ftnref12"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[12]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Резервы под снижение стоимости материальных запасов, резервы по сомнительным долгам отражаются после вступления в силу федеральных стандартов, других нормативных правовых актов, регулирующих порядок создания указанных резервов</w:t>
      </w:r>
    </w:p>
    <w:bookmarkStart w:id="41" w:name="_ftn13"/>
    <w:bookmarkEnd w:id="41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"_ftnref13"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[13]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  «Основные средства»</w:t>
      </w:r>
    </w:p>
    <w:bookmarkStart w:id="42" w:name="_ftn14"/>
    <w:bookmarkEnd w:id="42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"_ftnref14"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[14]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 «Инвестиции в ассоциированные субъекты»</w:t>
      </w:r>
    </w:p>
    <w:bookmarkStart w:id="43" w:name="_ftn15"/>
    <w:bookmarkEnd w:id="43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"_ftnref15"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[15]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После вступления в силу федерального стандарта  «Отчеты о движении денежных средств» наименование показателя изменяется на «Денежные средства и эквиваленты денежных средств»</w:t>
      </w:r>
    </w:p>
    <w:bookmarkStart w:id="44" w:name="_ftn16"/>
    <w:bookmarkEnd w:id="44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"_ftnref16"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[16]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 «Резервы, условные обязательства и условные активы»</w:t>
      </w:r>
    </w:p>
    <w:bookmarkStart w:id="45" w:name="_ftn17"/>
    <w:bookmarkEnd w:id="45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"_ftnref17"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[17]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 «Резервы, условные обязательства и условные активы»</w:t>
      </w:r>
    </w:p>
    <w:bookmarkStart w:id="46" w:name="_ftn18"/>
    <w:bookmarkEnd w:id="46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"_ftnref18"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[18]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  «Основные средства»</w:t>
      </w:r>
    </w:p>
    <w:bookmarkStart w:id="47" w:name="_ftn19"/>
    <w:bookmarkEnd w:id="47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"_ftnref19"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[19]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Порядок расчета чистых активов субъектов отчетности утверждается нормативными правовыми актами Министерства финансов.</w:t>
      </w:r>
    </w:p>
    <w:bookmarkStart w:id="48" w:name="_ftn20"/>
    <w:bookmarkEnd w:id="48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"_ftnref20"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[20]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Субъект отчетности может принять решение о раскрытии на добровольной основе информации о финансовых результатах деятельности за несколько предшествующих отчетных периодов по согласованию с Министерством Финансов Российской Федерации. При раскрытии таких показателей на добровольной основе соблюдаются все требования к раскрытию информации, установленные настоящим Стандартом</w:t>
      </w:r>
    </w:p>
    <w:bookmarkStart w:id="49" w:name="_ftn21"/>
    <w:bookmarkEnd w:id="49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"_ftnref21"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[21]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федеральных стандартов бухгалтерского учета в государственном секторе «Инвестиции в ассоциированные субъекты» и «Участие в совместной деятельности»</w:t>
      </w:r>
    </w:p>
    <w:bookmarkStart w:id="50" w:name="_ftn22"/>
    <w:bookmarkEnd w:id="50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"_ftnref22"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[22]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Показатели «в том числе» раскрываются после вступления в силу федеральных стандартов  «Индивидуальная финансовая отчетность» и «Консолидированная финансовая отчетность»</w:t>
      </w:r>
    </w:p>
    <w:bookmarkStart w:id="51" w:name="_ftn23"/>
    <w:bookmarkEnd w:id="51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lastRenderedPageBreak/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"_ftnref23"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[23]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  «Основные средства»</w:t>
      </w:r>
    </w:p>
    <w:bookmarkStart w:id="52" w:name="_ftn24"/>
    <w:bookmarkEnd w:id="52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"_ftnref24"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[24]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 «Учетная политика, изменения учетных оценок и ошибки»</w:t>
      </w:r>
    </w:p>
    <w:bookmarkStart w:id="53" w:name="_ftn25"/>
    <w:bookmarkEnd w:id="53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"_ftnref25"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[25]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Показатель раскрывается после вступления в силу федерального стандарта «Учетная политика, изменения учетных оценок и ошибки»</w:t>
      </w:r>
    </w:p>
    <w:bookmarkStart w:id="54" w:name="_ftn26"/>
    <w:bookmarkEnd w:id="54"/>
    <w:p w:rsidR="005833D4" w:rsidRDefault="005833D4" w:rsidP="005833D4">
      <w:pPr>
        <w:pStyle w:val="a5"/>
        <w:spacing w:before="0" w:beforeAutospacing="0" w:after="0" w:afterAutospacing="0"/>
        <w:ind w:left="357" w:hanging="142"/>
        <w:jc w:val="both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fldChar w:fldCharType="begin"/>
      </w:r>
      <w:r>
        <w:rPr>
          <w:rFonts w:ascii="Helvetica" w:hAnsi="Helvetica"/>
          <w:color w:val="000000"/>
          <w:sz w:val="23"/>
          <w:szCs w:val="23"/>
        </w:rPr>
        <w:instrText xml:space="preserve"> HYPERLINK "http://minfin.ru/ru/document/?id_4=69453" \l "_ftnref26" </w:instrText>
      </w:r>
      <w:r>
        <w:rPr>
          <w:rFonts w:ascii="Helvetica" w:hAnsi="Helvetica"/>
          <w:color w:val="000000"/>
          <w:sz w:val="23"/>
          <w:szCs w:val="23"/>
        </w:rPr>
        <w:fldChar w:fldCharType="separate"/>
      </w:r>
      <w:r>
        <w:rPr>
          <w:rStyle w:val="a3"/>
          <w:rFonts w:ascii="Helvetica" w:hAnsi="Helvetica"/>
          <w:color w:val="5BA149"/>
          <w:sz w:val="23"/>
          <w:szCs w:val="23"/>
        </w:rPr>
        <w:t>[26]</w:t>
      </w:r>
      <w:r>
        <w:rPr>
          <w:rFonts w:ascii="Helvetica" w:hAnsi="Helvetica"/>
          <w:color w:val="000000"/>
          <w:sz w:val="23"/>
          <w:szCs w:val="23"/>
        </w:rPr>
        <w:fldChar w:fldCharType="end"/>
      </w:r>
      <w:r>
        <w:rPr>
          <w:rStyle w:val="apple-converted-space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Показатели «в том числе» раскрываются после вступления в силу федерального стандарта  «Консолидированные и индивидуальные финансовые отчеты»</w:t>
      </w:r>
    </w:p>
    <w:p w:rsidR="005833D4" w:rsidRPr="005833D4" w:rsidRDefault="005833D4" w:rsidP="005833D4"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Информация официального сайта Министерства финансов Российской Федерации:</w:t>
      </w:r>
      <w:r>
        <w:rPr>
          <w:rStyle w:val="apple-converted-space"/>
          <w:rFonts w:ascii="Helvetica" w:hAnsi="Helvetica"/>
          <w:color w:val="000000"/>
        </w:rPr>
        <w:t> </w:t>
      </w:r>
      <w:hyperlink r:id="rId6" w:anchor="ixzz4I41CMjHf" w:history="1">
        <w:r>
          <w:rPr>
            <w:rStyle w:val="a3"/>
            <w:rFonts w:ascii="Helvetica" w:hAnsi="Helvetica"/>
            <w:color w:val="003399"/>
          </w:rPr>
          <w:t>http://minfin.ru/ru/document/?id_4=69453&amp;amp;area_id=4&amp;amp;page_id=2104&amp;amp;popup=Y#ixzz4I41CMjHf</w:t>
        </w:r>
      </w:hyperlink>
      <w:bookmarkStart w:id="55" w:name="_GoBack"/>
      <w:bookmarkEnd w:id="55"/>
    </w:p>
    <w:sectPr w:rsidR="005833D4" w:rsidRPr="0058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46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66A3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6726"/>
    <w:rsid w:val="0029104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3248A"/>
    <w:rsid w:val="0053308C"/>
    <w:rsid w:val="00534394"/>
    <w:rsid w:val="00537A92"/>
    <w:rsid w:val="00551CD7"/>
    <w:rsid w:val="00552A40"/>
    <w:rsid w:val="00554495"/>
    <w:rsid w:val="00560E1E"/>
    <w:rsid w:val="005700D1"/>
    <w:rsid w:val="00571123"/>
    <w:rsid w:val="005747B5"/>
    <w:rsid w:val="00574DF0"/>
    <w:rsid w:val="00575230"/>
    <w:rsid w:val="00580DC8"/>
    <w:rsid w:val="005815DE"/>
    <w:rsid w:val="005833D4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B39CB"/>
    <w:rsid w:val="006B5CB4"/>
    <w:rsid w:val="006D09FB"/>
    <w:rsid w:val="006D1947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706E"/>
    <w:rsid w:val="00717BE2"/>
    <w:rsid w:val="00725E03"/>
    <w:rsid w:val="007307A3"/>
    <w:rsid w:val="00734053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80FF9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D33"/>
    <w:rsid w:val="00877BC7"/>
    <w:rsid w:val="00880EB3"/>
    <w:rsid w:val="00884A49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1A41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77C04"/>
    <w:rsid w:val="00C80DE1"/>
    <w:rsid w:val="00C87697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0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5833D4"/>
    <w:rPr>
      <w:color w:val="800080"/>
      <w:u w:val="single"/>
    </w:rPr>
  </w:style>
  <w:style w:type="character" w:customStyle="1" w:styleId="apple-converted-space">
    <w:name w:val="apple-converted-space"/>
    <w:basedOn w:val="a0"/>
    <w:rsid w:val="005833D4"/>
  </w:style>
  <w:style w:type="paragraph" w:styleId="a5">
    <w:name w:val="Normal (Web)"/>
    <w:basedOn w:val="a"/>
    <w:uiPriority w:val="99"/>
    <w:unhideWhenUsed/>
    <w:rsid w:val="0058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04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83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5833D4"/>
    <w:rPr>
      <w:color w:val="800080"/>
      <w:u w:val="single"/>
    </w:rPr>
  </w:style>
  <w:style w:type="character" w:customStyle="1" w:styleId="apple-converted-space">
    <w:name w:val="apple-converted-space"/>
    <w:basedOn w:val="a0"/>
    <w:rsid w:val="005833D4"/>
  </w:style>
  <w:style w:type="paragraph" w:styleId="a5">
    <w:name w:val="Normal (Web)"/>
    <w:basedOn w:val="a"/>
    <w:uiPriority w:val="99"/>
    <w:unhideWhenUsed/>
    <w:rsid w:val="0058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46">
          <w:marLeft w:val="30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nfin.ru/ru/document/?id_4=69453&amp;area_id=4&amp;page_id=2104&amp;popup=Y" TargetMode="External"/><Relationship Id="rId5" Type="http://schemas.openxmlformats.org/officeDocument/2006/relationships/hyperlink" Target="http://minfin.ru/ru/document/?id_4=694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2016-08-22T12:32:00Z</dcterms:created>
  <dcterms:modified xsi:type="dcterms:W3CDTF">2016-08-22T12:32:00Z</dcterms:modified>
</cp:coreProperties>
</file>