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AE" w:rsidRDefault="009A7AA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A7AAE" w:rsidRDefault="009A7AAE">
      <w:pPr>
        <w:pStyle w:val="ConsPlusNormal"/>
        <w:jc w:val="both"/>
      </w:pPr>
    </w:p>
    <w:p w:rsidR="009A7AAE" w:rsidRDefault="009A7AAE">
      <w:pPr>
        <w:pStyle w:val="ConsPlusNormal"/>
      </w:pPr>
      <w:r>
        <w:t>Зарегистрировано в Минюсте России 27 января 2016 г. N 40822</w:t>
      </w:r>
    </w:p>
    <w:p w:rsidR="009A7AAE" w:rsidRDefault="009A7A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7AAE" w:rsidRDefault="009A7AAE">
      <w:pPr>
        <w:pStyle w:val="ConsPlusNormal"/>
        <w:jc w:val="both"/>
      </w:pPr>
    </w:p>
    <w:p w:rsidR="009A7AAE" w:rsidRDefault="009A7AA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A7AAE" w:rsidRDefault="009A7AAE">
      <w:pPr>
        <w:pStyle w:val="ConsPlusTitle"/>
        <w:jc w:val="center"/>
      </w:pPr>
    </w:p>
    <w:p w:rsidR="009A7AAE" w:rsidRDefault="009A7AAE">
      <w:pPr>
        <w:pStyle w:val="ConsPlusTitle"/>
        <w:jc w:val="center"/>
      </w:pPr>
      <w:r>
        <w:t>ПРИКАЗ</w:t>
      </w:r>
    </w:p>
    <w:p w:rsidR="009A7AAE" w:rsidRDefault="009A7AAE">
      <w:pPr>
        <w:pStyle w:val="ConsPlusTitle"/>
        <w:jc w:val="center"/>
      </w:pPr>
      <w:r>
        <w:t>от 23 декабря 2015 г. N 1512</w:t>
      </w:r>
    </w:p>
    <w:p w:rsidR="009A7AAE" w:rsidRDefault="009A7AAE">
      <w:pPr>
        <w:pStyle w:val="ConsPlusTitle"/>
        <w:jc w:val="center"/>
      </w:pPr>
    </w:p>
    <w:p w:rsidR="009A7AAE" w:rsidRDefault="009A7AAE">
      <w:pPr>
        <w:pStyle w:val="ConsPlusTitle"/>
        <w:jc w:val="center"/>
      </w:pPr>
      <w:r>
        <w:t>ОБ УТВЕРЖДЕНИИ ОБЩИХ ТРЕБОВАНИЙ</w:t>
      </w:r>
    </w:p>
    <w:p w:rsidR="009A7AAE" w:rsidRDefault="009A7AAE">
      <w:pPr>
        <w:pStyle w:val="ConsPlusTitle"/>
        <w:jc w:val="center"/>
      </w:pPr>
      <w:r>
        <w:t>К ОПРЕДЕЛЕНИЮ НОРМАТИВНЫХ ЗАТРАТ НА ОКАЗАНИЕ</w:t>
      </w:r>
    </w:p>
    <w:p w:rsidR="009A7AAE" w:rsidRDefault="009A7AAE">
      <w:pPr>
        <w:pStyle w:val="ConsPlusTitle"/>
        <w:jc w:val="center"/>
      </w:pPr>
      <w:r>
        <w:t>ГОСУДАРСТВЕННЫХ (МУНИЦИПАЛЬНЫХ) УСЛУГ В СФЕРЕ ОПЕКИ</w:t>
      </w:r>
    </w:p>
    <w:p w:rsidR="009A7AAE" w:rsidRDefault="009A7AAE">
      <w:pPr>
        <w:pStyle w:val="ConsPlusTitle"/>
        <w:jc w:val="center"/>
      </w:pPr>
      <w:r>
        <w:t>И ПОПЕЧИТЕЛЬСТВА НЕСОВЕРШЕННОЛЕТНИХ ГРАЖДАН, ПРИМЕНЯЕМЫХ</w:t>
      </w:r>
    </w:p>
    <w:p w:rsidR="009A7AAE" w:rsidRDefault="009A7AAE">
      <w:pPr>
        <w:pStyle w:val="ConsPlusTitle"/>
        <w:jc w:val="center"/>
      </w:pPr>
      <w:r>
        <w:t>ПРИ РАСЧЕТЕ ОБЪЕМА СУБСИДИИ НА ФИНАНСОВОЕ ОБЕСПЕЧЕНИЕ</w:t>
      </w:r>
    </w:p>
    <w:p w:rsidR="009A7AAE" w:rsidRDefault="009A7AAE">
      <w:pPr>
        <w:pStyle w:val="ConsPlusTitle"/>
        <w:jc w:val="center"/>
      </w:pPr>
      <w:r>
        <w:t>ВЫПОЛНЕНИЯ ГОСУДАРСТВЕННОГО (МУНИЦИПАЛЬНОГО) ЗАДАНИЯ</w:t>
      </w:r>
    </w:p>
    <w:p w:rsidR="009A7AAE" w:rsidRDefault="009A7AAE">
      <w:pPr>
        <w:pStyle w:val="ConsPlusTitle"/>
        <w:jc w:val="center"/>
      </w:pPr>
      <w:r>
        <w:t>НА ОКАЗАНИЕ ГОСУДАРСТВЕННЫХ (МУНИЦИПАЛЬНЫХ) УСЛУГ</w:t>
      </w:r>
    </w:p>
    <w:p w:rsidR="009A7AAE" w:rsidRDefault="009A7AAE">
      <w:pPr>
        <w:pStyle w:val="ConsPlusTitle"/>
        <w:jc w:val="center"/>
      </w:pPr>
      <w:r>
        <w:t xml:space="preserve">(ВЫПОЛНЕНИЯ РАБОТ) </w:t>
      </w:r>
      <w:proofErr w:type="gramStart"/>
      <w:r>
        <w:t>ГОСУДАРСТВЕННЫМ</w:t>
      </w:r>
      <w:proofErr w:type="gramEnd"/>
    </w:p>
    <w:p w:rsidR="009A7AAE" w:rsidRDefault="009A7AAE">
      <w:pPr>
        <w:pStyle w:val="ConsPlusTitle"/>
        <w:jc w:val="center"/>
      </w:pPr>
      <w:r>
        <w:t>(МУНИЦИПАЛЬНЫМ) УЧРЕЖДЕНИЕМ</w:t>
      </w:r>
    </w:p>
    <w:p w:rsidR="009A7AAE" w:rsidRDefault="009A7AAE">
      <w:pPr>
        <w:pStyle w:val="ConsPlusNormal"/>
        <w:jc w:val="both"/>
      </w:pPr>
    </w:p>
    <w:p w:rsidR="009A7AAE" w:rsidRDefault="009A7AA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абзацем вторым пункта 4 статьи 69.2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2007, N 18, ст. 2117; 2009, N 1, ст. 18; 2010, N 19, ст. 2291; 2013, N 31, ст. 4191) приказываю:</w:t>
      </w:r>
    </w:p>
    <w:p w:rsidR="009A7AAE" w:rsidRDefault="009A7AAE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42" w:history="1">
        <w:r>
          <w:rPr>
            <w:color w:val="0000FF"/>
          </w:rPr>
          <w:t>Общие требования</w:t>
        </w:r>
      </w:hyperlink>
      <w:r>
        <w:t xml:space="preserve"> к определению нормативных затрат на оказание государственных (муниципальных) услуг в сфере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 (далее - Общие требования).</w:t>
      </w:r>
    </w:p>
    <w:p w:rsidR="009A7AAE" w:rsidRDefault="009A7AAE">
      <w:pPr>
        <w:pStyle w:val="ConsPlusNormal"/>
        <w:ind w:firstLine="540"/>
        <w:jc w:val="both"/>
      </w:pPr>
      <w:bookmarkStart w:id="0" w:name="P21"/>
      <w:bookmarkEnd w:id="0"/>
      <w:r>
        <w:t xml:space="preserve">2. Положения </w:t>
      </w:r>
      <w:hyperlink w:anchor="P42" w:history="1">
        <w:r>
          <w:rPr>
            <w:color w:val="0000FF"/>
          </w:rPr>
          <w:t>Общих требований</w:t>
        </w:r>
      </w:hyperlink>
      <w:r>
        <w:t xml:space="preserve"> применяются при расчете объемов финансового обеспечения выполнения государственного (муниципального) задания начиная с формирования государственных (муниципальных) заданий на оказание государственных (муниципальных) услуг (выполнения работ) в сфере опеки и попечительства несовершеннолетних граждан на 2016 год.</w:t>
      </w:r>
    </w:p>
    <w:p w:rsidR="009A7AAE" w:rsidRDefault="009A7AAE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Повалко А.Б.</w:t>
      </w:r>
    </w:p>
    <w:p w:rsidR="009A7AAE" w:rsidRDefault="009A7AAE">
      <w:pPr>
        <w:pStyle w:val="ConsPlusNormal"/>
        <w:ind w:firstLine="540"/>
        <w:jc w:val="both"/>
      </w:pPr>
    </w:p>
    <w:p w:rsidR="009A7AAE" w:rsidRDefault="009A7AAE">
      <w:pPr>
        <w:pStyle w:val="ConsPlusNormal"/>
        <w:jc w:val="right"/>
      </w:pPr>
      <w:r>
        <w:t>Министр</w:t>
      </w:r>
    </w:p>
    <w:p w:rsidR="009A7AAE" w:rsidRDefault="009A7AAE">
      <w:pPr>
        <w:pStyle w:val="ConsPlusNormal"/>
        <w:jc w:val="right"/>
      </w:pPr>
      <w:r>
        <w:t>Д.В.ЛИВАНОВ</w:t>
      </w:r>
    </w:p>
    <w:p w:rsidR="009A7AAE" w:rsidRDefault="009A7AAE">
      <w:pPr>
        <w:pStyle w:val="ConsPlusNormal"/>
        <w:ind w:firstLine="540"/>
        <w:jc w:val="both"/>
      </w:pPr>
    </w:p>
    <w:p w:rsidR="009A7AAE" w:rsidRDefault="009A7AAE">
      <w:pPr>
        <w:pStyle w:val="ConsPlusNormal"/>
        <w:ind w:firstLine="540"/>
        <w:jc w:val="both"/>
      </w:pPr>
    </w:p>
    <w:p w:rsidR="009A7AAE" w:rsidRDefault="009A7AAE">
      <w:pPr>
        <w:pStyle w:val="ConsPlusNormal"/>
        <w:ind w:firstLine="540"/>
        <w:jc w:val="both"/>
      </w:pPr>
    </w:p>
    <w:p w:rsidR="009A7AAE" w:rsidRDefault="009A7AAE">
      <w:pPr>
        <w:pStyle w:val="ConsPlusNormal"/>
        <w:ind w:firstLine="540"/>
        <w:jc w:val="both"/>
      </w:pPr>
    </w:p>
    <w:p w:rsidR="009A7AAE" w:rsidRDefault="009A7AAE">
      <w:pPr>
        <w:pStyle w:val="ConsPlusNormal"/>
        <w:ind w:firstLine="540"/>
        <w:jc w:val="both"/>
      </w:pPr>
    </w:p>
    <w:p w:rsidR="009A7AAE" w:rsidRDefault="009A7AAE">
      <w:pPr>
        <w:pStyle w:val="ConsPlusNormal"/>
        <w:jc w:val="right"/>
      </w:pPr>
      <w:r>
        <w:t>Приложение</w:t>
      </w:r>
    </w:p>
    <w:p w:rsidR="009A7AAE" w:rsidRDefault="009A7AAE">
      <w:pPr>
        <w:pStyle w:val="ConsPlusNormal"/>
        <w:ind w:firstLine="540"/>
        <w:jc w:val="both"/>
      </w:pPr>
    </w:p>
    <w:p w:rsidR="009A7AAE" w:rsidRDefault="009A7AAE">
      <w:pPr>
        <w:pStyle w:val="ConsPlusNormal"/>
        <w:jc w:val="right"/>
      </w:pPr>
      <w:r>
        <w:t>Утверждены</w:t>
      </w:r>
    </w:p>
    <w:p w:rsidR="009A7AAE" w:rsidRDefault="009A7AAE">
      <w:pPr>
        <w:pStyle w:val="ConsPlusNormal"/>
        <w:jc w:val="right"/>
      </w:pPr>
      <w:r>
        <w:t>приказом Министерства образования</w:t>
      </w:r>
    </w:p>
    <w:p w:rsidR="009A7AAE" w:rsidRDefault="009A7AAE">
      <w:pPr>
        <w:pStyle w:val="ConsPlusNormal"/>
        <w:jc w:val="right"/>
      </w:pPr>
      <w:r>
        <w:t>и науки Российской Федерации</w:t>
      </w:r>
    </w:p>
    <w:p w:rsidR="009A7AAE" w:rsidRDefault="009A7AAE">
      <w:pPr>
        <w:pStyle w:val="ConsPlusNormal"/>
        <w:jc w:val="right"/>
      </w:pPr>
      <w:r>
        <w:t>от 23 декабря 2015 г. N 1512</w:t>
      </w:r>
    </w:p>
    <w:p w:rsidR="009A7AAE" w:rsidRDefault="009A7AAE">
      <w:pPr>
        <w:pStyle w:val="ConsPlusNormal"/>
        <w:jc w:val="right"/>
      </w:pPr>
    </w:p>
    <w:p w:rsidR="009A7AAE" w:rsidRDefault="009A7A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7AAE" w:rsidRDefault="009A7AAE">
      <w:pPr>
        <w:pStyle w:val="ConsPlusNormal"/>
        <w:ind w:firstLine="540"/>
        <w:jc w:val="both"/>
      </w:pPr>
      <w:r>
        <w:t>КонсультантПлюс: примечание.</w:t>
      </w:r>
    </w:p>
    <w:p w:rsidR="009A7AAE" w:rsidRDefault="009A7AAE">
      <w:pPr>
        <w:pStyle w:val="ConsPlusNormal"/>
        <w:ind w:firstLine="540"/>
        <w:jc w:val="both"/>
      </w:pPr>
      <w:r>
        <w:t xml:space="preserve">Положения Общих требований </w:t>
      </w:r>
      <w:hyperlink w:anchor="P21" w:history="1">
        <w:r>
          <w:rPr>
            <w:color w:val="0000FF"/>
          </w:rPr>
          <w:t>применяются</w:t>
        </w:r>
      </w:hyperlink>
      <w:r>
        <w:t xml:space="preserve"> при расчете объемов финансового обеспечения выполнения государственного (муниципального) задания начиная с формирования государственных (муниципальных) заданий на оказание государственных (муниципальных) услуг (выполнения работ) в сфере опеки и попечительства несовершеннолетних граждан на 2016 год.</w:t>
      </w:r>
    </w:p>
    <w:p w:rsidR="009A7AAE" w:rsidRDefault="009A7A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7AAE" w:rsidRDefault="009A7AAE">
      <w:pPr>
        <w:pStyle w:val="ConsPlusTitle"/>
        <w:jc w:val="center"/>
      </w:pPr>
      <w:bookmarkStart w:id="1" w:name="P42"/>
      <w:bookmarkEnd w:id="1"/>
      <w:r>
        <w:t>ОБЩИЕ ТРЕБОВАНИЯ</w:t>
      </w:r>
    </w:p>
    <w:p w:rsidR="009A7AAE" w:rsidRDefault="009A7AAE">
      <w:pPr>
        <w:pStyle w:val="ConsPlusTitle"/>
        <w:jc w:val="center"/>
      </w:pPr>
      <w:r>
        <w:t>К ОПРЕДЕЛЕНИЮ НОРМАТИВНЫХ ЗАТРАТ НА ОКАЗАНИЕ</w:t>
      </w:r>
    </w:p>
    <w:p w:rsidR="009A7AAE" w:rsidRDefault="009A7AAE">
      <w:pPr>
        <w:pStyle w:val="ConsPlusTitle"/>
        <w:jc w:val="center"/>
      </w:pPr>
      <w:r>
        <w:t>ГОСУДАРСТВЕННЫХ (МУНИЦИПАЛЬНЫХ) УСЛУГ В СФЕРЕ ОПЕКИ</w:t>
      </w:r>
    </w:p>
    <w:p w:rsidR="009A7AAE" w:rsidRDefault="009A7AAE">
      <w:pPr>
        <w:pStyle w:val="ConsPlusTitle"/>
        <w:jc w:val="center"/>
      </w:pPr>
      <w:r>
        <w:t>И ПОПЕЧИТЕЛЬСТВА НЕСОВЕРШЕННОЛЕТНИХ ГРАЖДАН, ПРИМЕНЯЕМЫХ</w:t>
      </w:r>
    </w:p>
    <w:p w:rsidR="009A7AAE" w:rsidRDefault="009A7AAE">
      <w:pPr>
        <w:pStyle w:val="ConsPlusTitle"/>
        <w:jc w:val="center"/>
      </w:pPr>
      <w:r>
        <w:t>ПРИ РАСЧЕТЕ ОБЪЕМА СУБСИДИИ НА ФИНАНСОВОЕ ОБЕСПЕЧЕНИЕ</w:t>
      </w:r>
    </w:p>
    <w:p w:rsidR="009A7AAE" w:rsidRDefault="009A7AAE">
      <w:pPr>
        <w:pStyle w:val="ConsPlusTitle"/>
        <w:jc w:val="center"/>
      </w:pPr>
      <w:r>
        <w:t>ВЫПОЛНЕНИЯ ГОСУДАРСТВЕННОГО (МУНИЦИПАЛЬНОГО) ЗАДАНИЯ</w:t>
      </w:r>
    </w:p>
    <w:p w:rsidR="009A7AAE" w:rsidRDefault="009A7AAE">
      <w:pPr>
        <w:pStyle w:val="ConsPlusTitle"/>
        <w:jc w:val="center"/>
      </w:pPr>
      <w:r>
        <w:t>НА ОКАЗАНИЕ ГОСУДАРСТВЕННЫХ (МУНИЦИПАЛЬНЫХ) УСЛУГ</w:t>
      </w:r>
    </w:p>
    <w:p w:rsidR="009A7AAE" w:rsidRDefault="009A7AAE">
      <w:pPr>
        <w:pStyle w:val="ConsPlusTitle"/>
        <w:jc w:val="center"/>
      </w:pPr>
      <w:r>
        <w:t xml:space="preserve">(ВЫПОЛНЕНИЯ РАБОТ) </w:t>
      </w:r>
      <w:proofErr w:type="gramStart"/>
      <w:r>
        <w:t>ГОСУДАРСТВЕННЫМ</w:t>
      </w:r>
      <w:proofErr w:type="gramEnd"/>
    </w:p>
    <w:p w:rsidR="009A7AAE" w:rsidRDefault="009A7AAE">
      <w:pPr>
        <w:pStyle w:val="ConsPlusTitle"/>
        <w:jc w:val="center"/>
      </w:pPr>
      <w:r>
        <w:t>(МУНИЦИПАЛЬНЫМ) УЧРЕЖДЕНИЕМ</w:t>
      </w:r>
    </w:p>
    <w:p w:rsidR="009A7AAE" w:rsidRDefault="009A7AAE">
      <w:pPr>
        <w:pStyle w:val="ConsPlusNormal"/>
        <w:jc w:val="center"/>
      </w:pPr>
    </w:p>
    <w:p w:rsidR="009A7AAE" w:rsidRDefault="009A7AAE">
      <w:pPr>
        <w:pStyle w:val="ConsPlusNormal"/>
        <w:jc w:val="center"/>
      </w:pPr>
      <w:r>
        <w:t>I. Общие положения</w:t>
      </w:r>
    </w:p>
    <w:p w:rsidR="009A7AAE" w:rsidRDefault="009A7AAE">
      <w:pPr>
        <w:pStyle w:val="ConsPlusNormal"/>
        <w:jc w:val="center"/>
      </w:pPr>
    </w:p>
    <w:p w:rsidR="009A7AAE" w:rsidRDefault="009A7AAE">
      <w:pPr>
        <w:pStyle w:val="ConsPlusNormal"/>
        <w:ind w:firstLine="540"/>
        <w:jc w:val="both"/>
      </w:pPr>
      <w:r>
        <w:t xml:space="preserve">1. Настоящие Общие требования разработаны в соответствии с положениями </w:t>
      </w:r>
      <w:hyperlink r:id="rId7" w:history="1">
        <w:r>
          <w:rPr>
            <w:color w:val="0000FF"/>
          </w:rPr>
          <w:t>абзаца второго пункта 4 статьи 69.2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2007, N 18, ст. 2117; 2009, N 1, ст. 18; 2010, N 19, ст. 2291; </w:t>
      </w:r>
      <w:proofErr w:type="gramStart"/>
      <w:r>
        <w:t xml:space="preserve">2013, N 31, ст. 4191) в целях установления требований к определению нормативных затрат на оказание государственных (муниципальных) услуг, включенных в базовый (отраслевой) перечень государственных и муниципальных услуг и работ в сфере опеки и попечительства несовершеннолетних граждан, утвержденный Министерством образования и науки Российской Федерации в соответствии с </w:t>
      </w:r>
      <w:hyperlink r:id="rId8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26 февраля 2014 г. N 151 </w:t>
      </w:r>
      <w:r>
        <w:lastRenderedPageBreak/>
        <w:t>"О</w:t>
      </w:r>
      <w:proofErr w:type="gramEnd"/>
      <w:r>
        <w:t xml:space="preserve"> </w:t>
      </w:r>
      <w:proofErr w:type="gramStart"/>
      <w:r>
        <w:t>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 (Собрание законодательства Российской Федерации, 2014, N</w:t>
      </w:r>
      <w:proofErr w:type="gramEnd"/>
      <w:r>
        <w:t xml:space="preserve"> </w:t>
      </w:r>
      <w:proofErr w:type="gramStart"/>
      <w:r>
        <w:t>10, ст. 1041; N 42, ст. 5750; 2015, N 28, ст. 4237), (далее соответственно - государственные (муниципальные) услуги, базовый перечень) для расчета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государственными (муниципальными) учреждениями.</w:t>
      </w:r>
      <w:proofErr w:type="gramEnd"/>
    </w:p>
    <w:p w:rsidR="009A7AAE" w:rsidRDefault="009A7AAE">
      <w:pPr>
        <w:pStyle w:val="ConsPlusNormal"/>
        <w:ind w:firstLine="540"/>
        <w:jc w:val="both"/>
      </w:pPr>
      <w:r>
        <w:t>2. Положения настоящих Общих требований должны соблюдаться при определении нормативных затрат на оказание государственных (муниципальных) услуг, включенных в базовый перечень.</w:t>
      </w:r>
    </w:p>
    <w:p w:rsidR="009A7AAE" w:rsidRDefault="009A7AAE">
      <w:pPr>
        <w:pStyle w:val="ConsPlusNormal"/>
        <w:ind w:firstLine="540"/>
        <w:jc w:val="both"/>
      </w:pPr>
      <w:proofErr w:type="gramStart"/>
      <w:r>
        <w:t xml:space="preserve">Определение нормативных затрат на оказание услуг, включенных в базовые перечни, федеральными государственными учреждениями, государственными учреждениями субъектов Российской Федерации, муниципальными учреждениями осуществляется в соответствии с порядками финансового обеспечения выполнения государственного задания, установленными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в соответствии с положениями </w:t>
      </w:r>
      <w:hyperlink r:id="rId9" w:history="1">
        <w:r>
          <w:rPr>
            <w:color w:val="0000FF"/>
          </w:rPr>
          <w:t>абзаца первого пункта 4 статьи 69.2</w:t>
        </w:r>
      </w:hyperlink>
      <w:r>
        <w:t xml:space="preserve"> Бюджетного кодекса Российской Федерации (Собрание</w:t>
      </w:r>
      <w:proofErr w:type="gramEnd"/>
      <w:r>
        <w:t xml:space="preserve"> законодательства Российской Федерации, 1998, N 31, ст. 3823; 2007, N 18, ст. 2117; 2009, N 1, ст. 18; 2010, N 19, ст. 2291; 2013, N 31, ст. 4191) и с соблюдением настоящих Общих требований.</w:t>
      </w:r>
    </w:p>
    <w:p w:rsidR="009A7AAE" w:rsidRDefault="009A7AAE">
      <w:pPr>
        <w:pStyle w:val="ConsPlusNormal"/>
        <w:ind w:firstLine="540"/>
        <w:jc w:val="both"/>
      </w:pPr>
    </w:p>
    <w:p w:rsidR="009A7AAE" w:rsidRDefault="009A7AAE">
      <w:pPr>
        <w:pStyle w:val="ConsPlusNormal"/>
        <w:jc w:val="center"/>
      </w:pPr>
      <w:r>
        <w:t>II. Общие требования при определении нормативных затрат</w:t>
      </w:r>
    </w:p>
    <w:p w:rsidR="009A7AAE" w:rsidRDefault="009A7AAE">
      <w:pPr>
        <w:pStyle w:val="ConsPlusNormal"/>
        <w:jc w:val="center"/>
      </w:pPr>
      <w:r>
        <w:t>на оказание государственных (муниципальных) услуг</w:t>
      </w:r>
    </w:p>
    <w:p w:rsidR="009A7AAE" w:rsidRDefault="009A7AAE">
      <w:pPr>
        <w:pStyle w:val="ConsPlusNormal"/>
        <w:ind w:firstLine="540"/>
        <w:jc w:val="both"/>
      </w:pPr>
    </w:p>
    <w:p w:rsidR="009A7AAE" w:rsidRDefault="009A7AAE">
      <w:pPr>
        <w:pStyle w:val="ConsPlusNormal"/>
        <w:ind w:firstLine="540"/>
        <w:jc w:val="both"/>
      </w:pPr>
      <w:r>
        <w:t>3. Нормативные затраты на оказание государственных (муниципальных) услуг определяются исходя из содержащейся в базовом перечне информац</w:t>
      </w:r>
      <w:proofErr w:type="gramStart"/>
      <w:r>
        <w:t>ии о е</w:t>
      </w:r>
      <w:proofErr w:type="gramEnd"/>
      <w:r>
        <w:t>диницах измерения показателей, характеризующих объем государственной (муниципальной) услуги, и показателей, отражающих содержание и (или) условия (формы) оказания государственных (муниципальных) услуг.</w:t>
      </w:r>
    </w:p>
    <w:p w:rsidR="009A7AAE" w:rsidRDefault="009A7AAE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Определение нормативных затрат осуществляется с учетом норм материальных, технических и трудовых ресурсов, используемых для оказания государственной (муниципальной) услуги, установленных нормативными правовыми актами Российской Федерации, актами органов государственной власти и местного самоуправления, а также межгосударственными, национальными (государственными) стандартами Российской Федерации, строительных норм и правил, санитарных норм и правил, стандартов, порядков и регламентов оказания государственных (муниципальных) услуг в установленной </w:t>
      </w:r>
      <w:r>
        <w:lastRenderedPageBreak/>
        <w:t>сфере (далее - стандарты</w:t>
      </w:r>
      <w:proofErr w:type="gramEnd"/>
      <w:r>
        <w:t xml:space="preserve"> услуг) (при их наличии).</w:t>
      </w:r>
    </w:p>
    <w:p w:rsidR="009A7AAE" w:rsidRDefault="009A7AAE">
      <w:pPr>
        <w:pStyle w:val="ConsPlusNormal"/>
        <w:ind w:firstLine="540"/>
        <w:jc w:val="both"/>
      </w:pPr>
      <w:r>
        <w:t>При отсутствии стандартов услуг нормативные затраты в отношении соответствующей группы затрат определяются структурным методом (или экспертным методом), позволяющим рассчитать нормативные затраты на единицу государственной (муниципальной) услуги.</w:t>
      </w:r>
    </w:p>
    <w:p w:rsidR="009A7AAE" w:rsidRDefault="009A7AAE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Затраты на оплату труда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родителей, должны рассчитываться исходя из необходимости выполнения требований </w:t>
      </w:r>
      <w:hyperlink r:id="rId10" w:history="1">
        <w:r>
          <w:rPr>
            <w:color w:val="0000FF"/>
          </w:rPr>
          <w:t>абзаца четвертого подпункта "в" пункта 1</w:t>
        </w:r>
      </w:hyperlink>
      <w:r>
        <w:t xml:space="preserve"> Указа Президента Российской Федерации от 28 декабря 2012 г. N 1688 "О некоторых мерах по реализации государственной политики в сфере защиты детей-сирот и детей, оставшихся без</w:t>
      </w:r>
      <w:proofErr w:type="gramEnd"/>
      <w:r>
        <w:t xml:space="preserve"> попечения родителей" (Собрание законодательства Российской Федерации, 2012, N 53, ст. 7860).</w:t>
      </w:r>
    </w:p>
    <w:p w:rsidR="009A7AAE" w:rsidRDefault="009A7AAE">
      <w:pPr>
        <w:pStyle w:val="ConsPlusNormal"/>
        <w:ind w:firstLine="540"/>
        <w:jc w:val="both"/>
      </w:pPr>
      <w:r>
        <w:t>6. Затраты на оплату труда с начислениями на выплаты по оплате труда работников, которые не принимают непосредственного участия в оказании государственной (муниципальной) услуги, включая административно-управленческий персонал, включаются в состав нормативных затрат.</w:t>
      </w:r>
    </w:p>
    <w:p w:rsidR="009A7AAE" w:rsidRDefault="009A7AAE">
      <w:pPr>
        <w:pStyle w:val="ConsPlusNormal"/>
        <w:ind w:firstLine="540"/>
        <w:jc w:val="both"/>
      </w:pPr>
      <w:bookmarkStart w:id="2" w:name="P66"/>
      <w:bookmarkEnd w:id="2"/>
      <w:r>
        <w:t>7. Нормативные затраты включают в себя затраты на приобретение материальных запасов, основных средств и особо ценного движимого имущества, потребляемого (используемого) в процессе оказания государственной (муниципальной) услуги с учетом срока полезного использования (в том числе затраты на арендные платежи).</w:t>
      </w:r>
    </w:p>
    <w:p w:rsidR="009A7AAE" w:rsidRDefault="009A7AAE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В составе нормативных затрат на оказание государственных (муниципальных) услуг детям с ограниченными возможностями здоровья и иными специальными потребностями учитываются затраты, непосредственно связанные с обеспечением указанных потребностей, в том числе в части оплаты труда дополнительного персонала, а также приобретения материальных запасов и основных средств в соответствии с </w:t>
      </w:r>
      <w:hyperlink w:anchor="P66" w:history="1">
        <w:r>
          <w:rPr>
            <w:color w:val="0000FF"/>
          </w:rPr>
          <w:t>пунктом 7</w:t>
        </w:r>
      </w:hyperlink>
      <w:r>
        <w:t xml:space="preserve"> настоящих Общих требований.</w:t>
      </w:r>
      <w:proofErr w:type="gramEnd"/>
    </w:p>
    <w:p w:rsidR="009A7AAE" w:rsidRDefault="009A7AAE">
      <w:pPr>
        <w:pStyle w:val="ConsPlusNormal"/>
        <w:ind w:firstLine="540"/>
        <w:jc w:val="both"/>
      </w:pPr>
      <w:r>
        <w:t>При расчете нормативных затрат на оказание государственных (муниципальных) услуг лицам с ограниченными возможностями здоровья, детям-инвалидам,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коэффициенты, учитывающие специфику организации предоставления государственных (муниципальных) услуг указанной категории потребителей.</w:t>
      </w:r>
    </w:p>
    <w:p w:rsidR="009A7AAE" w:rsidRDefault="009A7AAE">
      <w:pPr>
        <w:pStyle w:val="ConsPlusNormal"/>
        <w:ind w:firstLine="540"/>
        <w:jc w:val="both"/>
      </w:pPr>
      <w:r>
        <w:t xml:space="preserve">9. </w:t>
      </w:r>
      <w:proofErr w:type="gramStart"/>
      <w:r>
        <w:t>При определении нормативных затрат на оказание государственных (муниципальных) услуг включаются затраты на общехозяйственные нужды, в том числе на оплату услуг связи, включая оплату трафика информационно-телекоммуникационной сети "Интернет", транспортных услуг, коммунальных услуг, на проведение текущего ремонта и мероприятий по обеспечению санитарно-эпидемиологических требований, противопожарной безопасности, охранной сигнализации, а также иных затрат, непосредственно не связанных с оказанием государственных (муниципальных) услуг, но без которых</w:t>
      </w:r>
      <w:proofErr w:type="gramEnd"/>
      <w:r>
        <w:t xml:space="preserve"> оказание данных услуг будет </w:t>
      </w:r>
      <w:proofErr w:type="gramStart"/>
      <w:r>
        <w:t>существенно затруднено</w:t>
      </w:r>
      <w:proofErr w:type="gramEnd"/>
      <w:r>
        <w:t xml:space="preserve"> или невозможно.</w:t>
      </w:r>
    </w:p>
    <w:p w:rsidR="009A7AAE" w:rsidRDefault="009A7AAE">
      <w:pPr>
        <w:pStyle w:val="ConsPlusNormal"/>
        <w:jc w:val="both"/>
      </w:pPr>
    </w:p>
    <w:p w:rsidR="009A7AAE" w:rsidRDefault="009A7AAE">
      <w:pPr>
        <w:pStyle w:val="ConsPlusNormal"/>
        <w:jc w:val="both"/>
      </w:pPr>
    </w:p>
    <w:p w:rsidR="009A7AAE" w:rsidRDefault="009A7A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20E" w:rsidRPr="00F7220E" w:rsidRDefault="00F7220E" w:rsidP="00CF01FC"/>
    <w:sectPr w:rsidR="00F7220E" w:rsidRPr="00F7220E" w:rsidSect="00CB4A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B42C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5C0F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6A42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08C2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18E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3CE5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1E5E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7E6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E86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645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D60D18"/>
    <w:multiLevelType w:val="hybridMultilevel"/>
    <w:tmpl w:val="20ACD396"/>
    <w:lvl w:ilvl="0" w:tplc="8CBA3944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EB383E"/>
    <w:multiLevelType w:val="hybridMultilevel"/>
    <w:tmpl w:val="A69E8A8A"/>
    <w:lvl w:ilvl="0" w:tplc="88D6FF8C">
      <w:start w:val="1"/>
      <w:numFmt w:val="decimal"/>
      <w:pStyle w:val="a0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FB1039A"/>
    <w:multiLevelType w:val="hybridMultilevel"/>
    <w:tmpl w:val="BC72D1B2"/>
    <w:lvl w:ilvl="0" w:tplc="6D3894A2">
      <w:start w:val="1"/>
      <w:numFmt w:val="bullet"/>
      <w:pStyle w:val="a1"/>
      <w:lvlText w:val="-"/>
      <w:lvlJc w:val="left"/>
      <w:pPr>
        <w:tabs>
          <w:tab w:val="num" w:pos="2138"/>
        </w:tabs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C0E1E4A"/>
    <w:multiLevelType w:val="hybridMultilevel"/>
    <w:tmpl w:val="77789284"/>
    <w:lvl w:ilvl="0" w:tplc="E9BA1292">
      <w:start w:val="1"/>
      <w:numFmt w:val="decimal"/>
      <w:pStyle w:val="a2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stylePaneFormatFilter w:val="3F01"/>
  <w:defaultTabStop w:val="708"/>
  <w:characterSpacingControl w:val="doNotCompress"/>
  <w:compat/>
  <w:rsids>
    <w:rsidRoot w:val="009A7AAE"/>
    <w:rsid w:val="00023371"/>
    <w:rsid w:val="00104E00"/>
    <w:rsid w:val="001A0C80"/>
    <w:rsid w:val="001C08BD"/>
    <w:rsid w:val="00306840"/>
    <w:rsid w:val="003A7FC9"/>
    <w:rsid w:val="00410799"/>
    <w:rsid w:val="00551B63"/>
    <w:rsid w:val="00591BD0"/>
    <w:rsid w:val="00750D67"/>
    <w:rsid w:val="007B77E9"/>
    <w:rsid w:val="009A7AAE"/>
    <w:rsid w:val="009E2D95"/>
    <w:rsid w:val="00A12293"/>
    <w:rsid w:val="00B67B90"/>
    <w:rsid w:val="00C06063"/>
    <w:rsid w:val="00C21126"/>
    <w:rsid w:val="00CE0E76"/>
    <w:rsid w:val="00CF01FC"/>
    <w:rsid w:val="00D835F4"/>
    <w:rsid w:val="00D91B34"/>
    <w:rsid w:val="00DB3CEF"/>
    <w:rsid w:val="00DB3E6E"/>
    <w:rsid w:val="00DE76A5"/>
    <w:rsid w:val="00E837C0"/>
    <w:rsid w:val="00F16238"/>
    <w:rsid w:val="00F7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7B77E9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3"/>
    <w:next w:val="a3"/>
    <w:qFormat/>
    <w:rsid w:val="00F7220E"/>
    <w:pPr>
      <w:keepNext/>
      <w:spacing w:before="240" w:after="60" w:line="240" w:lineRule="auto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3"/>
    <w:next w:val="a3"/>
    <w:qFormat/>
    <w:rsid w:val="00F7220E"/>
    <w:pPr>
      <w:keepNext/>
      <w:spacing w:before="240" w:after="60" w:line="240" w:lineRule="auto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3"/>
    <w:next w:val="a3"/>
    <w:qFormat/>
    <w:rsid w:val="00F7220E"/>
    <w:pPr>
      <w:keepNext/>
      <w:spacing w:before="240" w:after="60" w:line="240" w:lineRule="auto"/>
      <w:outlineLvl w:val="2"/>
    </w:pPr>
    <w:rPr>
      <w:rFonts w:cs="Arial"/>
      <w:b/>
      <w:bCs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">
    <w:name w:val="список точки"/>
    <w:basedOn w:val="a3"/>
    <w:rsid w:val="00DE76A5"/>
    <w:pPr>
      <w:numPr>
        <w:numId w:val="1"/>
      </w:numPr>
    </w:pPr>
  </w:style>
  <w:style w:type="paragraph" w:customStyle="1" w:styleId="a2">
    <w:name w:val="список номера"/>
    <w:basedOn w:val="a3"/>
    <w:rsid w:val="00DE76A5"/>
    <w:pPr>
      <w:numPr>
        <w:numId w:val="2"/>
      </w:numPr>
    </w:pPr>
  </w:style>
  <w:style w:type="paragraph" w:customStyle="1" w:styleId="a0">
    <w:name w:val="список номера скобка"/>
    <w:basedOn w:val="a3"/>
    <w:rsid w:val="00DE76A5"/>
    <w:pPr>
      <w:numPr>
        <w:numId w:val="3"/>
      </w:numPr>
      <w:tabs>
        <w:tab w:val="clear" w:pos="1429"/>
        <w:tab w:val="num" w:pos="360"/>
      </w:tabs>
      <w:ind w:left="0" w:firstLine="709"/>
    </w:pPr>
  </w:style>
  <w:style w:type="paragraph" w:customStyle="1" w:styleId="italic">
    <w:name w:val="italic"/>
    <w:basedOn w:val="a3"/>
    <w:rsid w:val="00DE76A5"/>
    <w:rPr>
      <w:i/>
    </w:rPr>
  </w:style>
  <w:style w:type="paragraph" w:customStyle="1" w:styleId="bold">
    <w:name w:val="bold"/>
    <w:basedOn w:val="a3"/>
    <w:rsid w:val="00DE76A5"/>
    <w:rPr>
      <w:b/>
    </w:rPr>
  </w:style>
  <w:style w:type="paragraph" w:customStyle="1" w:styleId="bolditalic">
    <w:name w:val="bold italic"/>
    <w:basedOn w:val="a3"/>
    <w:rsid w:val="00DE76A5"/>
    <w:rPr>
      <w:b/>
      <w:i/>
    </w:rPr>
  </w:style>
  <w:style w:type="paragraph" w:customStyle="1" w:styleId="a7">
    <w:name w:val="сноска"/>
    <w:basedOn w:val="a3"/>
    <w:rsid w:val="00DE76A5"/>
    <w:pPr>
      <w:spacing w:line="240" w:lineRule="auto"/>
      <w:ind w:firstLine="0"/>
    </w:pPr>
    <w:rPr>
      <w:sz w:val="20"/>
    </w:rPr>
  </w:style>
  <w:style w:type="paragraph" w:customStyle="1" w:styleId="10">
    <w:name w:val="Номер страницы1"/>
    <w:basedOn w:val="a3"/>
    <w:rsid w:val="00F7220E"/>
    <w:pPr>
      <w:jc w:val="center"/>
    </w:pPr>
  </w:style>
  <w:style w:type="table" w:customStyle="1" w:styleId="Table">
    <w:name w:val="Table"/>
    <w:basedOn w:val="a5"/>
    <w:rsid w:val="00F16238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tableheader12centered">
    <w:name w:val="table header 12 centered"/>
    <w:basedOn w:val="a3"/>
    <w:rsid w:val="001C08BD"/>
    <w:pPr>
      <w:spacing w:before="60" w:after="60" w:line="240" w:lineRule="auto"/>
      <w:ind w:firstLine="0"/>
      <w:jc w:val="center"/>
    </w:pPr>
    <w:rPr>
      <w:b/>
      <w:sz w:val="24"/>
    </w:rPr>
  </w:style>
  <w:style w:type="paragraph" w:customStyle="1" w:styleId="a1">
    <w:name w:val="список дефисы"/>
    <w:basedOn w:val="a3"/>
    <w:rsid w:val="00D835F4"/>
    <w:pPr>
      <w:numPr>
        <w:numId w:val="14"/>
      </w:numPr>
      <w:ind w:left="1429" w:hanging="357"/>
    </w:pPr>
  </w:style>
  <w:style w:type="paragraph" w:customStyle="1" w:styleId="tableheader14centered">
    <w:name w:val="table header 14 centered"/>
    <w:rsid w:val="001C08BD"/>
    <w:pPr>
      <w:spacing w:before="60" w:after="60"/>
    </w:pPr>
    <w:rPr>
      <w:rFonts w:cs="Arial"/>
      <w:b/>
      <w:bCs/>
      <w:sz w:val="28"/>
      <w:szCs w:val="26"/>
    </w:rPr>
  </w:style>
  <w:style w:type="paragraph" w:customStyle="1" w:styleId="tabletext12left">
    <w:name w:val="table text 12 left"/>
    <w:basedOn w:val="tableheader12centered"/>
    <w:rsid w:val="001C08BD"/>
    <w:pPr>
      <w:jc w:val="left"/>
    </w:pPr>
    <w:rPr>
      <w:b w:val="0"/>
    </w:rPr>
  </w:style>
  <w:style w:type="paragraph" w:customStyle="1" w:styleId="tabletext12center">
    <w:name w:val="table text 12 center"/>
    <w:basedOn w:val="tableheader12centered"/>
    <w:rsid w:val="001C08BD"/>
    <w:rPr>
      <w:b w:val="0"/>
    </w:rPr>
  </w:style>
  <w:style w:type="paragraph" w:customStyle="1" w:styleId="tabletext12right">
    <w:name w:val="table text 12 right"/>
    <w:basedOn w:val="tableheader12centered"/>
    <w:rsid w:val="00E837C0"/>
    <w:pPr>
      <w:jc w:val="right"/>
    </w:pPr>
    <w:rPr>
      <w:b w:val="0"/>
    </w:rPr>
  </w:style>
  <w:style w:type="paragraph" w:customStyle="1" w:styleId="tabletext14left">
    <w:name w:val="table text 14 left"/>
    <w:basedOn w:val="tableheader14centered"/>
    <w:rsid w:val="00E837C0"/>
    <w:pPr>
      <w:spacing w:line="360" w:lineRule="auto"/>
    </w:pPr>
    <w:rPr>
      <w:b w:val="0"/>
    </w:rPr>
  </w:style>
  <w:style w:type="paragraph" w:customStyle="1" w:styleId="tabletext14center">
    <w:name w:val="table text 14 center"/>
    <w:basedOn w:val="tableheader14centered"/>
    <w:rsid w:val="001C08BD"/>
    <w:pPr>
      <w:jc w:val="center"/>
    </w:pPr>
    <w:rPr>
      <w:b w:val="0"/>
    </w:rPr>
  </w:style>
  <w:style w:type="paragraph" w:customStyle="1" w:styleId="tabletext14right">
    <w:name w:val="table text 14 right"/>
    <w:basedOn w:val="tableheader14centered"/>
    <w:rsid w:val="001C08BD"/>
    <w:pPr>
      <w:jc w:val="right"/>
    </w:pPr>
    <w:rPr>
      <w:b w:val="0"/>
    </w:rPr>
  </w:style>
  <w:style w:type="paragraph" w:customStyle="1" w:styleId="Tableheading">
    <w:name w:val="Table heading"/>
    <w:rsid w:val="001C08BD"/>
    <w:rPr>
      <w:rFonts w:cs="Arial"/>
      <w:b/>
      <w:bCs/>
      <w:sz w:val="28"/>
      <w:szCs w:val="26"/>
    </w:rPr>
  </w:style>
  <w:style w:type="paragraph" w:customStyle="1" w:styleId="ConsPlusNormal">
    <w:name w:val="ConsPlusNormal"/>
    <w:rsid w:val="009A7AAE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9A7AAE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9A7AAE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072FC033640BBEA96847FD377B7B130298C4D61EF2784820754424AE339A87875C8FA7A7701028s4a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072FC033640BBEA96847FD377B7B130190C6DB1BF4784820754424AE339A87875C8FA5A170s1a0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072FC033640BBEA96847FD377B7B130190C6DB1BF4784820754424AE339A87875C8FA5A170s1a0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A072FC033640BBEA96847FD377B7B130293CFDA16F7784820754424AE339A87875C8FA7A770102As4a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072FC033640BBEA96847FD377B7B130190C6DB1BF4784820754424AE339A87875C8FA7A478s1a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1489</Words>
  <Characters>8488</Characters>
  <Application>Microsoft Office Word</Application>
  <DocSecurity>0</DocSecurity>
  <Lines>70</Lines>
  <Paragraphs>19</Paragraphs>
  <ScaleCrop>false</ScaleCrop>
  <Company>Ecorys-NEI Moscow</Company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at</cp:lastModifiedBy>
  <cp:revision>1</cp:revision>
  <dcterms:created xsi:type="dcterms:W3CDTF">2016-08-01T13:26:00Z</dcterms:created>
  <dcterms:modified xsi:type="dcterms:W3CDTF">2016-08-01T13:27:00Z</dcterms:modified>
</cp:coreProperties>
</file>