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3F" w:rsidRPr="00D71C3F" w:rsidRDefault="00D71C3F" w:rsidP="00B43255">
      <w:pPr>
        <w:pStyle w:val="ConsPlusNormal"/>
        <w:ind w:firstLine="540"/>
        <w:jc w:val="both"/>
        <w:rPr>
          <w:b/>
        </w:rPr>
      </w:pPr>
      <w:r w:rsidRPr="00D71C3F">
        <w:rPr>
          <w:b/>
        </w:rPr>
        <w:t>Расчетные формы в привязке к показателям</w:t>
      </w:r>
    </w:p>
    <w:p w:rsidR="00D71C3F" w:rsidRDefault="00D71C3F" w:rsidP="00B43255">
      <w:pPr>
        <w:pStyle w:val="ConsPlusNormal"/>
        <w:ind w:firstLine="540"/>
        <w:jc w:val="both"/>
      </w:pPr>
    </w:p>
    <w:p w:rsidR="00B43255" w:rsidRPr="00F750C2" w:rsidRDefault="00B43255" w:rsidP="00B43255">
      <w:pPr>
        <w:pStyle w:val="ConsPlusNormal"/>
        <w:ind w:firstLine="540"/>
        <w:jc w:val="both"/>
      </w:pPr>
      <w:r w:rsidRPr="00F750C2">
        <w:t xml:space="preserve">В целях организации эффективной работы по исполнению положений Федерального </w:t>
      </w:r>
      <w:hyperlink r:id="rId5" w:history="1">
        <w:r w:rsidRPr="00F750C2">
          <w:t>закона</w:t>
        </w:r>
      </w:hyperlink>
      <w:r w:rsidRPr="00F750C2">
        <w:t xml:space="preserve"> от 29 декабря 2012 г. N 273-ФЗ "Об образовании в Российской Федерации" (далее - Закон об образовании), а также регулирования деятельности образовательных организаций высшего образования, подведомственных Минобрнауки России (далее - учреждения) по оказанию платных образовательных услуг по реализации образовательных программ высшего образования и среднего профессионального образования (далее соответственно - платные услуги, плата) и недопущения нарушений прав потребителей указанных услуг, установленных законодательством Российской Федерации, Минобрнауки России сообщает.</w:t>
      </w:r>
    </w:p>
    <w:p w:rsidR="00B43255" w:rsidRPr="00F750C2" w:rsidRDefault="00B43255" w:rsidP="00B43255">
      <w:pPr>
        <w:pStyle w:val="ConsPlusNormal"/>
        <w:ind w:firstLine="540"/>
        <w:jc w:val="both"/>
      </w:pPr>
      <w:r w:rsidRPr="00F750C2">
        <w:t xml:space="preserve">Оказание платных услуг возможно в соответствии с </w:t>
      </w:r>
      <w:hyperlink r:id="rId6" w:history="1">
        <w:r w:rsidRPr="00F750C2">
          <w:t>частью 17 статьи 2</w:t>
        </w:r>
      </w:hyperlink>
      <w:r w:rsidRPr="00F750C2">
        <w:t xml:space="preserve"> и </w:t>
      </w:r>
      <w:hyperlink r:id="rId7" w:history="1">
        <w:r w:rsidRPr="00F750C2">
          <w:t>статьей 101</w:t>
        </w:r>
      </w:hyperlink>
      <w:r w:rsidRPr="00F750C2">
        <w:t xml:space="preserve"> Закона об образовании и регулируется </w:t>
      </w:r>
      <w:hyperlink r:id="rId8" w:history="1">
        <w:r w:rsidRPr="00F750C2">
          <w:t>Правилами</w:t>
        </w:r>
      </w:hyperlink>
      <w:r w:rsidRPr="00F750C2">
        <w:t xml:space="preserve"> оказания платных образовательных услуг, утвержденными постановлением Правительства Российской Федерации от 15 августа 2013 г. N 706 (далее - Правила).</w:t>
      </w:r>
    </w:p>
    <w:p w:rsidR="00B43255" w:rsidRPr="00F750C2" w:rsidRDefault="00B43255" w:rsidP="00B43255">
      <w:pPr>
        <w:pStyle w:val="ConsPlusNormal"/>
        <w:ind w:firstLine="540"/>
        <w:jc w:val="both"/>
      </w:pPr>
      <w:r w:rsidRPr="00F750C2">
        <w:t xml:space="preserve">В соответствии с </w:t>
      </w:r>
      <w:hyperlink r:id="rId9" w:history="1">
        <w:r w:rsidRPr="00F750C2">
          <w:t>пунктом 2</w:t>
        </w:r>
      </w:hyperlink>
      <w:r w:rsidRPr="00F750C2">
        <w:t xml:space="preserve"> постановления Правительства Российской Федерации от 26 июля 2010 г. N 537 "О порядке осуществления федеральными органами исполнительной власти функций и полномочий учредителя федерального государственного учреждения" Минобрнауки России разработан </w:t>
      </w:r>
      <w:hyperlink r:id="rId10" w:history="1">
        <w:r w:rsidRPr="00F750C2">
          <w:t>Порядок</w:t>
        </w:r>
      </w:hyperlink>
      <w:r w:rsidRPr="00F750C2">
        <w:t xml:space="preserve"> определения платы для физических и юридических лиц за услуги (работы), относящиеся к основным видам деятельности федеральных бюджетных и автономных учреждений, находящихся в ведении Минобрнауки России,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 (приказ Минобрнауки России от 20 декабря 2010 г. N 1898, с изменениями, внесенными приказом Минобрнауки России от 11 августа 2015 г. N 818) (далее - Порядок).</w:t>
      </w:r>
    </w:p>
    <w:p w:rsidR="00B43255" w:rsidRPr="00F750C2" w:rsidRDefault="00010E19" w:rsidP="00B43255">
      <w:pPr>
        <w:pStyle w:val="ConsPlusNormal"/>
        <w:ind w:firstLine="540"/>
        <w:jc w:val="both"/>
      </w:pPr>
      <w:hyperlink r:id="rId11" w:history="1">
        <w:r w:rsidR="00B43255" w:rsidRPr="00F750C2">
          <w:t>Порядком</w:t>
        </w:r>
      </w:hyperlink>
      <w:r w:rsidR="00B43255" w:rsidRPr="00F750C2">
        <w:t xml:space="preserve"> предусмотрено, что учреждения самостоятельно определяют возможность оказания платных услуг исходя из необходимости обеспечения одинаковых условий при оказании одних и тех же платных услуг и услуг, осуществляемых в рамках установленного государственного задания, на основе расчета необходимых для оказания соответствующих платных услуг экономически обоснованных затрат с учетом комплексных характеристик образовательной деятельности и подготовки обучающегося (качества образования), предусмотренных федеральными государственными образовательными стандартами и образовательными стандартами.</w:t>
      </w:r>
    </w:p>
    <w:p w:rsidR="00B43255" w:rsidRPr="00F750C2" w:rsidRDefault="00F750C2" w:rsidP="00B43255">
      <w:pPr>
        <w:pStyle w:val="ConsPlusNormal"/>
        <w:ind w:firstLine="540"/>
        <w:jc w:val="both"/>
      </w:pPr>
      <w:r w:rsidRPr="00F750C2">
        <w:t>С</w:t>
      </w:r>
      <w:r w:rsidR="00B43255" w:rsidRPr="00F750C2">
        <w:t xml:space="preserve"> 1 января 2016 г. вступила в силу новая редакция </w:t>
      </w:r>
      <w:hyperlink r:id="rId12" w:history="1">
        <w:r w:rsidR="00B43255" w:rsidRPr="00F750C2">
          <w:t>пункта 6</w:t>
        </w:r>
      </w:hyperlink>
      <w:r w:rsidR="00B43255" w:rsidRPr="00F750C2">
        <w:t xml:space="preserve"> Порядка, согласно которой размер платы в расчете на единицу оказания платных услуг не может быть ниже величины базовых нормативных затрат, установленных Министерством образования и науки Российской Федерации в соответствии с </w:t>
      </w:r>
      <w:hyperlink r:id="rId13" w:history="1">
        <w:r w:rsidR="00B43255" w:rsidRPr="00F750C2">
          <w:t>Положением</w:t>
        </w:r>
      </w:hyperlink>
      <w:r w:rsidR="00B43255" w:rsidRPr="00F750C2">
        <w:t xml:space="preserve"> о формировании государственного задания на оказание государственных услуг (выполнение работ) в отношении федеральных </w:t>
      </w:r>
      <w:r w:rsidR="00B43255" w:rsidRPr="00F750C2">
        <w:lastRenderedPageBreak/>
        <w:t>государственных учреждений и финансовомобеспечении выполнения государственного задания, утвержденным постановлением Правительства Российской Федерации от 26 июня 2015 г. N 640, на оказание аналогичной государственной услуги в отношении контингента, принимаемого на обучение на соответствующий учебный год (далее - Положение, базовые нормативы затрат).</w:t>
      </w:r>
    </w:p>
    <w:p w:rsidR="00B43255" w:rsidRPr="00F750C2" w:rsidRDefault="00B43255" w:rsidP="00B43255">
      <w:pPr>
        <w:pStyle w:val="ConsPlusNormal"/>
        <w:ind w:firstLine="540"/>
        <w:jc w:val="both"/>
      </w:pPr>
      <w:r w:rsidRPr="00F750C2">
        <w:t xml:space="preserve">Согласно </w:t>
      </w:r>
      <w:hyperlink r:id="rId14" w:history="1">
        <w:r w:rsidRPr="00F750C2">
          <w:t>пункту 22</w:t>
        </w:r>
      </w:hyperlink>
      <w:r w:rsidRPr="00F750C2">
        <w:t xml:space="preserve"> Положения значение базового норматива затрат на оказание государственной услуги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сфере деятельности, общей суммой, с выделением суммы затрат на оплату труда с начислениями на выплаты по оплате труда работников, непосредственно связанных с оказанием государственной услуги, включая административно-управленческий персонал, в случаях, установленных стандартами услуги, а также суммы затрат на коммунальные услуги и содержание недвижимого имущества, необходимого для выполнения государственного задания на оказание государственной услуги.</w:t>
      </w:r>
    </w:p>
    <w:p w:rsidR="0095303A" w:rsidRPr="00F750C2" w:rsidRDefault="00B43255" w:rsidP="00B43255">
      <w:pPr>
        <w:shd w:val="clear" w:color="auto" w:fill="FFFFFF"/>
        <w:ind w:firstLine="709"/>
        <w:jc w:val="both"/>
        <w:outlineLvl w:val="0"/>
        <w:rPr>
          <w:rFonts w:eastAsia="Times New Roman"/>
          <w:kern w:val="36"/>
          <w:lang w:eastAsia="ru-RU"/>
        </w:rPr>
      </w:pPr>
      <w:r w:rsidRPr="00F750C2">
        <w:t xml:space="preserve">Базовые нормативы затрат по программам высшего образования утверждены от 1 декабря 2015 г. </w:t>
      </w:r>
      <w:hyperlink r:id="rId15" w:history="1">
        <w:r w:rsidRPr="00F750C2">
          <w:t>N АП-117/18вн</w:t>
        </w:r>
      </w:hyperlink>
      <w:r w:rsidRPr="00F750C2">
        <w:t>.</w:t>
      </w:r>
    </w:p>
    <w:p w:rsidR="00B0540F" w:rsidRPr="00F750C2" w:rsidRDefault="00B0540F" w:rsidP="00B0540F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F750C2">
        <w:rPr>
          <w:rFonts w:eastAsia="Times New Roman"/>
          <w:lang w:eastAsia="ru-RU"/>
        </w:rPr>
        <w:t>Система перераспределения трудоемкости образовательного процесса между учебными подразделениями вуза — позволяет точно, сбалансированно, в соответствии с реальной учебной нагрузкой определить действительные затраты, которые несет кафедра на осуществление учебного процесса.</w:t>
      </w:r>
    </w:p>
    <w:p w:rsidR="00B0540F" w:rsidRPr="00F750C2" w:rsidRDefault="00B0540F" w:rsidP="00B0540F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lang w:eastAsia="ru-RU"/>
        </w:rPr>
      </w:pPr>
      <w:r w:rsidRPr="00F750C2">
        <w:rPr>
          <w:rFonts w:eastAsia="Times New Roman"/>
          <w:lang w:eastAsia="ru-RU"/>
        </w:rPr>
        <w:t>Оптимальное распределение доходов в соответствии с нагрузкой факультета/кафедры</w:t>
      </w:r>
    </w:p>
    <w:p w:rsidR="00B0540F" w:rsidRPr="00F750C2" w:rsidRDefault="00B0540F" w:rsidP="00B0540F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lang w:eastAsia="ru-RU"/>
        </w:rPr>
      </w:pPr>
      <w:r w:rsidRPr="00F750C2">
        <w:rPr>
          <w:rFonts w:eastAsia="Times New Roman"/>
          <w:lang w:eastAsia="ru-RU"/>
        </w:rPr>
        <w:t>Решение проблемы необоснованного увеличения аудиторной нагрузки на кафедрах</w:t>
      </w:r>
    </w:p>
    <w:p w:rsidR="00B0540F" w:rsidRPr="00F750C2" w:rsidRDefault="00B0540F" w:rsidP="00B0540F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lang w:eastAsia="ru-RU"/>
        </w:rPr>
      </w:pPr>
      <w:r w:rsidRPr="00F750C2">
        <w:rPr>
          <w:rFonts w:eastAsia="Times New Roman"/>
          <w:lang w:eastAsia="ru-RU"/>
        </w:rPr>
        <w:t>Расчет необходимых ресурсов для выполнения учебной нагрузки</w:t>
      </w:r>
    </w:p>
    <w:p w:rsidR="00B0540F" w:rsidRPr="00F750C2" w:rsidRDefault="00B0540F" w:rsidP="00B0540F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lang w:eastAsia="ru-RU"/>
        </w:rPr>
      </w:pPr>
      <w:r w:rsidRPr="00F750C2">
        <w:rPr>
          <w:rFonts w:eastAsia="Times New Roman"/>
          <w:lang w:eastAsia="ru-RU"/>
        </w:rPr>
        <w:t>Определение необходимого количества профессорско-преподавательского состава кафедры</w:t>
      </w:r>
    </w:p>
    <w:p w:rsidR="00B43255" w:rsidRPr="00F750C2" w:rsidRDefault="00B43255" w:rsidP="00B0540F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lang w:eastAsia="ru-RU"/>
        </w:rPr>
      </w:pPr>
    </w:p>
    <w:p w:rsidR="00B0540F" w:rsidRPr="00F750C2" w:rsidRDefault="00B0540F" w:rsidP="00B0540F">
      <w:pPr>
        <w:shd w:val="clear" w:color="auto" w:fill="FFFFFF"/>
        <w:jc w:val="both"/>
        <w:rPr>
          <w:rFonts w:eastAsia="Times New Roman"/>
          <w:lang w:eastAsia="ru-RU"/>
        </w:rPr>
      </w:pPr>
      <w:r w:rsidRPr="00F750C2">
        <w:rPr>
          <w:noProof/>
          <w:lang w:eastAsia="ru-RU"/>
        </w:rPr>
        <w:drawing>
          <wp:inline distT="0" distB="0" distL="0" distR="0">
            <wp:extent cx="5940425" cy="2691978"/>
            <wp:effectExtent l="0" t="0" r="3175" b="0"/>
            <wp:docPr id="1" name="Рисунок 1" descr="http://finprorector.ru/wp-content/themes/finprorector/images/infographic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nprorector.ru/wp-content/themes/finprorector/images/infographic_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104" w:rsidRDefault="00DE4104" w:rsidP="00DE41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Эффективная реализация возможности образовательных организаций привлекать дополнительные источники финансирования невозможна без стратегического (долгосрочного) планирования приносящей доход деятельности. Планирование приносящей доход деятельности является необходимым элементом реализации программы развития образовательной организации и является частью общего стратегического планирования. </w:t>
      </w:r>
    </w:p>
    <w:p w:rsidR="00DE4104" w:rsidRDefault="00DE4104" w:rsidP="00DE41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приносящей доход деятельности должно осуществляться на основании принципов системности, законности, профессионализма, непрерывности, рационализма. </w:t>
      </w:r>
    </w:p>
    <w:p w:rsidR="00DE4104" w:rsidRDefault="00DE4104" w:rsidP="00DE41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системности: приносящая доход деятельность должна соответствовать целям деятельности образовательной организации, осуществляться с учетом потребностей обучающихся. </w:t>
      </w:r>
    </w:p>
    <w:p w:rsidR="00DE4104" w:rsidRDefault="00DE4104" w:rsidP="00DE41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Платная образовательная деятельность должна представлять собой и самостоятельную систему, включающую различные направления развития личности, формы, способы и методы их реализации. </w:t>
      </w:r>
    </w:p>
    <w:p w:rsidR="00904512" w:rsidRDefault="00DE4104" w:rsidP="00DE4104">
      <w:pPr>
        <w:ind w:firstLine="709"/>
        <w:jc w:val="both"/>
      </w:pPr>
      <w:r>
        <w:t>При этом приносящая доход деятельность должна быть реализована с учетом возможностей образовательной организации и иметь определенную организационно-хозяйственную обособленность.</w:t>
      </w:r>
    </w:p>
    <w:p w:rsidR="00DE4104" w:rsidRDefault="00DE4104" w:rsidP="00DE4104">
      <w:pPr>
        <w:ind w:firstLine="709"/>
        <w:jc w:val="both"/>
      </w:pPr>
    </w:p>
    <w:p w:rsidR="00DE4104" w:rsidRPr="00D71C3F" w:rsidRDefault="00DE4104" w:rsidP="00DE4104">
      <w:pPr>
        <w:ind w:firstLine="709"/>
        <w:jc w:val="both"/>
        <w:rPr>
          <w:b/>
        </w:rPr>
      </w:pPr>
    </w:p>
    <w:sectPr w:rsidR="00DE4104" w:rsidRPr="00D71C3F" w:rsidSect="0001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B1A"/>
    <w:multiLevelType w:val="multilevel"/>
    <w:tmpl w:val="E980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048C"/>
    <w:rsid w:val="00010E19"/>
    <w:rsid w:val="0002048C"/>
    <w:rsid w:val="00233957"/>
    <w:rsid w:val="008A6E55"/>
    <w:rsid w:val="00904512"/>
    <w:rsid w:val="0095303A"/>
    <w:rsid w:val="009958AE"/>
    <w:rsid w:val="00B0540F"/>
    <w:rsid w:val="00B16666"/>
    <w:rsid w:val="00B43255"/>
    <w:rsid w:val="00D71C3F"/>
    <w:rsid w:val="00DE4104"/>
    <w:rsid w:val="00F750C2"/>
    <w:rsid w:val="00FD0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AE"/>
  </w:style>
  <w:style w:type="paragraph" w:styleId="1">
    <w:name w:val="heading 1"/>
    <w:basedOn w:val="a"/>
    <w:next w:val="a"/>
    <w:link w:val="10"/>
    <w:uiPriority w:val="9"/>
    <w:qFormat/>
    <w:rsid w:val="009958AE"/>
    <w:pPr>
      <w:spacing w:before="480"/>
      <w:contextualSpacing/>
      <w:outlineLvl w:val="0"/>
    </w:pPr>
    <w:rPr>
      <w:rFonts w:ascii="Cambria" w:eastAsia="Times New Roman" w:hAnsi="Cambria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9958AE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8AE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8AE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8AE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8AE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8AE"/>
    <w:pPr>
      <w:outlineLvl w:val="6"/>
    </w:pPr>
    <w:rPr>
      <w:rFonts w:ascii="Cambria" w:eastAsia="Times New Roman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8AE"/>
    <w:pPr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8AE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58A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995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958AE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9958AE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9958AE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9958A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9958AE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9958AE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958A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958AE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9958AE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958AE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9958A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958AE"/>
    <w:rPr>
      <w:b/>
      <w:bCs/>
    </w:rPr>
  </w:style>
  <w:style w:type="character" w:styleId="a8">
    <w:name w:val="Emphasis"/>
    <w:uiPriority w:val="20"/>
    <w:qFormat/>
    <w:rsid w:val="009958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9958AE"/>
  </w:style>
  <w:style w:type="character" w:customStyle="1" w:styleId="aa">
    <w:name w:val="Без интервала Знак"/>
    <w:link w:val="a9"/>
    <w:uiPriority w:val="1"/>
    <w:rsid w:val="009958AE"/>
  </w:style>
  <w:style w:type="paragraph" w:styleId="ab">
    <w:name w:val="List Paragraph"/>
    <w:basedOn w:val="a"/>
    <w:uiPriority w:val="34"/>
    <w:qFormat/>
    <w:rsid w:val="009958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58AE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9958A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958A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d">
    <w:name w:val="Выделенная цитата Знак"/>
    <w:link w:val="ac"/>
    <w:uiPriority w:val="30"/>
    <w:rsid w:val="009958AE"/>
    <w:rPr>
      <w:b/>
      <w:bCs/>
      <w:i/>
      <w:iCs/>
    </w:rPr>
  </w:style>
  <w:style w:type="character" w:styleId="ae">
    <w:name w:val="Subtle Emphasis"/>
    <w:uiPriority w:val="19"/>
    <w:qFormat/>
    <w:rsid w:val="009958AE"/>
    <w:rPr>
      <w:i/>
      <w:iCs/>
    </w:rPr>
  </w:style>
  <w:style w:type="character" w:styleId="af">
    <w:name w:val="Intense Emphasis"/>
    <w:uiPriority w:val="21"/>
    <w:qFormat/>
    <w:rsid w:val="009958AE"/>
    <w:rPr>
      <w:b/>
      <w:bCs/>
    </w:rPr>
  </w:style>
  <w:style w:type="character" w:styleId="af0">
    <w:name w:val="Subtle Reference"/>
    <w:uiPriority w:val="31"/>
    <w:qFormat/>
    <w:rsid w:val="009958AE"/>
    <w:rPr>
      <w:smallCaps/>
    </w:rPr>
  </w:style>
  <w:style w:type="character" w:styleId="af1">
    <w:name w:val="Intense Reference"/>
    <w:uiPriority w:val="32"/>
    <w:qFormat/>
    <w:rsid w:val="009958AE"/>
    <w:rPr>
      <w:smallCaps/>
      <w:spacing w:val="5"/>
      <w:u w:val="single"/>
    </w:rPr>
  </w:style>
  <w:style w:type="character" w:styleId="af2">
    <w:name w:val="Book Title"/>
    <w:uiPriority w:val="33"/>
    <w:qFormat/>
    <w:rsid w:val="009958A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58AE"/>
    <w:pPr>
      <w:outlineLvl w:val="9"/>
    </w:pPr>
    <w:rPr>
      <w:lang w:bidi="en-US"/>
    </w:rPr>
  </w:style>
  <w:style w:type="paragraph" w:styleId="af4">
    <w:name w:val="Body Text"/>
    <w:basedOn w:val="a"/>
    <w:link w:val="af5"/>
    <w:uiPriority w:val="1"/>
    <w:qFormat/>
    <w:rsid w:val="008A6E55"/>
    <w:pPr>
      <w:ind w:firstLine="709"/>
      <w:jc w:val="both"/>
    </w:pPr>
    <w:rPr>
      <w:rFonts w:eastAsia="Bookman Old Style" w:cstheme="minorBidi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8A6E55"/>
    <w:rPr>
      <w:rFonts w:eastAsia="Bookman Old Style" w:cstheme="minorBidi"/>
      <w:szCs w:val="20"/>
      <w:lang w:val="en-US"/>
    </w:rPr>
  </w:style>
  <w:style w:type="paragraph" w:styleId="af6">
    <w:name w:val="Normal (Web)"/>
    <w:basedOn w:val="a"/>
    <w:uiPriority w:val="99"/>
    <w:unhideWhenUsed/>
    <w:rsid w:val="00B0540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0540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0540F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rsid w:val="00953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3255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Default">
    <w:name w:val="Default"/>
    <w:rsid w:val="00DE41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AE"/>
  </w:style>
  <w:style w:type="paragraph" w:styleId="1">
    <w:name w:val="heading 1"/>
    <w:basedOn w:val="a"/>
    <w:next w:val="a"/>
    <w:link w:val="10"/>
    <w:uiPriority w:val="9"/>
    <w:qFormat/>
    <w:rsid w:val="009958AE"/>
    <w:pPr>
      <w:spacing w:before="480"/>
      <w:contextualSpacing/>
      <w:outlineLvl w:val="0"/>
    </w:pPr>
    <w:rPr>
      <w:rFonts w:ascii="Cambria" w:eastAsia="Times New Roman" w:hAnsi="Cambria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9958AE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8AE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8AE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8AE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8AE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8AE"/>
    <w:pPr>
      <w:outlineLvl w:val="6"/>
    </w:pPr>
    <w:rPr>
      <w:rFonts w:ascii="Cambria" w:eastAsia="Times New Roman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8AE"/>
    <w:pPr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8AE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58A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995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9958AE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9958AE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9958AE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9958A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9958AE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9958AE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958A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958AE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9958AE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958AE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9958A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958AE"/>
    <w:rPr>
      <w:b/>
      <w:bCs/>
    </w:rPr>
  </w:style>
  <w:style w:type="character" w:styleId="a8">
    <w:name w:val="Emphasis"/>
    <w:uiPriority w:val="20"/>
    <w:qFormat/>
    <w:rsid w:val="009958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9958AE"/>
  </w:style>
  <w:style w:type="character" w:customStyle="1" w:styleId="aa">
    <w:name w:val="Без интервала Знак"/>
    <w:link w:val="a9"/>
    <w:uiPriority w:val="1"/>
    <w:rsid w:val="009958AE"/>
  </w:style>
  <w:style w:type="paragraph" w:styleId="ab">
    <w:name w:val="List Paragraph"/>
    <w:basedOn w:val="a"/>
    <w:uiPriority w:val="34"/>
    <w:qFormat/>
    <w:rsid w:val="009958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58AE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9958A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958A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d">
    <w:name w:val="Выделенная цитата Знак"/>
    <w:link w:val="ac"/>
    <w:uiPriority w:val="30"/>
    <w:rsid w:val="009958AE"/>
    <w:rPr>
      <w:b/>
      <w:bCs/>
      <w:i/>
      <w:iCs/>
    </w:rPr>
  </w:style>
  <w:style w:type="character" w:styleId="ae">
    <w:name w:val="Subtle Emphasis"/>
    <w:uiPriority w:val="19"/>
    <w:qFormat/>
    <w:rsid w:val="009958AE"/>
    <w:rPr>
      <w:i/>
      <w:iCs/>
    </w:rPr>
  </w:style>
  <w:style w:type="character" w:styleId="af">
    <w:name w:val="Intense Emphasis"/>
    <w:uiPriority w:val="21"/>
    <w:qFormat/>
    <w:rsid w:val="009958AE"/>
    <w:rPr>
      <w:b/>
      <w:bCs/>
    </w:rPr>
  </w:style>
  <w:style w:type="character" w:styleId="af0">
    <w:name w:val="Subtle Reference"/>
    <w:uiPriority w:val="31"/>
    <w:qFormat/>
    <w:rsid w:val="009958AE"/>
    <w:rPr>
      <w:smallCaps/>
    </w:rPr>
  </w:style>
  <w:style w:type="character" w:styleId="af1">
    <w:name w:val="Intense Reference"/>
    <w:uiPriority w:val="32"/>
    <w:qFormat/>
    <w:rsid w:val="009958AE"/>
    <w:rPr>
      <w:smallCaps/>
      <w:spacing w:val="5"/>
      <w:u w:val="single"/>
    </w:rPr>
  </w:style>
  <w:style w:type="character" w:styleId="af2">
    <w:name w:val="Book Title"/>
    <w:uiPriority w:val="33"/>
    <w:qFormat/>
    <w:rsid w:val="009958A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58AE"/>
    <w:pPr>
      <w:outlineLvl w:val="9"/>
    </w:pPr>
    <w:rPr>
      <w:lang w:bidi="en-US"/>
    </w:rPr>
  </w:style>
  <w:style w:type="paragraph" w:styleId="af4">
    <w:name w:val="Body Text"/>
    <w:basedOn w:val="a"/>
    <w:link w:val="af5"/>
    <w:uiPriority w:val="1"/>
    <w:qFormat/>
    <w:rsid w:val="008A6E55"/>
    <w:pPr>
      <w:ind w:firstLine="709"/>
      <w:jc w:val="both"/>
    </w:pPr>
    <w:rPr>
      <w:rFonts w:eastAsia="Bookman Old Style" w:cstheme="minorBidi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8A6E55"/>
    <w:rPr>
      <w:rFonts w:eastAsia="Bookman Old Style" w:cstheme="minorBidi"/>
      <w:szCs w:val="20"/>
      <w:lang w:val="en-US"/>
    </w:rPr>
  </w:style>
  <w:style w:type="paragraph" w:styleId="af6">
    <w:name w:val="Normal (Web)"/>
    <w:basedOn w:val="a"/>
    <w:uiPriority w:val="99"/>
    <w:unhideWhenUsed/>
    <w:rsid w:val="00B0540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0540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0540F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59"/>
    <w:rsid w:val="00953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3255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Default">
    <w:name w:val="Default"/>
    <w:rsid w:val="00DE41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9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19C6B330D72F387E3814EDE4613F2A4F9ED51646D2799E292F599DAB8A27906F18CF3C6448B620h1JBP" TargetMode="External"/><Relationship Id="rId13" Type="http://schemas.openxmlformats.org/officeDocument/2006/relationships/hyperlink" Target="consultantplus://offline/ref=DC19C6B330D72F387E3814EDE4613F2A4F92DC1D49D4799E292F599DAB8A27906F18CF3C6448B623h1JB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19C6B330D72F387E3814EDE4613F2A4C9BD41F45D1799E292F599DAB8A27906F18CF3C6449B524h1JAP" TargetMode="External"/><Relationship Id="rId12" Type="http://schemas.openxmlformats.org/officeDocument/2006/relationships/hyperlink" Target="consultantplus://offline/ref=DC19C6B330D72F387E3814EDE4613F2A4F93D01A49D2799E292F599DAB8A27906F18CFh3J5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19C6B330D72F387E3814EDE4613F2A4C9BD41F45D1799E292F599DAB8A27906F18CF3C6448B622h1JFP" TargetMode="External"/><Relationship Id="rId11" Type="http://schemas.openxmlformats.org/officeDocument/2006/relationships/hyperlink" Target="consultantplus://offline/ref=DC19C6B330D72F387E3814EDE4613F2A4F93D01A49D2799E292F599DAB8A27906F18CF3C6448B620h1JEP" TargetMode="External"/><Relationship Id="rId5" Type="http://schemas.openxmlformats.org/officeDocument/2006/relationships/hyperlink" Target="consultantplus://offline/ref=DC19C6B330D72F387E3814EDE4613F2A4C9BD41F45D1799E292F599DABh8JAP" TargetMode="External"/><Relationship Id="rId15" Type="http://schemas.openxmlformats.org/officeDocument/2006/relationships/hyperlink" Target="consultantplus://offline/ref=DC19C6B330D72F387E381DF4E3613F2A489FD21B47DA799E292F599DABh8JAP" TargetMode="External"/><Relationship Id="rId10" Type="http://schemas.openxmlformats.org/officeDocument/2006/relationships/hyperlink" Target="consultantplus://offline/ref=DC19C6B330D72F387E3814EDE4613F2A4F93D01A49D2799E292F599DAB8A27906F18CF3C6448B620h1JE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19C6B330D72F387E3814EDE4613F2A4F9CD71940D1799E292F599DAB8A27906F18CF3C6448B621h1J6P" TargetMode="External"/><Relationship Id="rId14" Type="http://schemas.openxmlformats.org/officeDocument/2006/relationships/hyperlink" Target="consultantplus://offline/ref=DC19C6B330D72F387E3814EDE4613F2A4F92DC1D49D4799E292F599DAB8A27906F18CF3C6448B629h1J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2016-08-04T14:04:00Z</dcterms:created>
  <dcterms:modified xsi:type="dcterms:W3CDTF">2016-08-08T11:45:00Z</dcterms:modified>
</cp:coreProperties>
</file>